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346"/>
      </w:tblGrid>
      <w:tr w:rsidR="00627D75" w:rsidRPr="007B09E4" w:rsidTr="0085017D">
        <w:trPr>
          <w:trHeight w:val="465"/>
        </w:trPr>
        <w:tc>
          <w:tcPr>
            <w:tcW w:w="9464" w:type="dxa"/>
            <w:shd w:val="clear" w:color="auto" w:fill="FDE9D9"/>
          </w:tcPr>
          <w:p w:rsidR="00627D75" w:rsidRPr="007B09E4" w:rsidRDefault="002715B4" w:rsidP="002715B4">
            <w:pPr>
              <w:pStyle w:val="Nzev"/>
              <w:spacing w:before="120" w:after="120" w:line="240" w:lineRule="auto"/>
              <w:rPr>
                <w:rFonts w:ascii="Arial" w:hAnsi="Arial" w:cs="Arial"/>
                <w:sz w:val="20"/>
                <w:szCs w:val="20"/>
              </w:rPr>
            </w:pPr>
            <w:r w:rsidRPr="007B09E4">
              <w:rPr>
                <w:rFonts w:ascii="Arial" w:hAnsi="Arial" w:cs="Arial"/>
                <w:sz w:val="20"/>
                <w:szCs w:val="20"/>
                <w:lang w:val="cs-CZ"/>
              </w:rPr>
              <w:t>Technické podmínky</w:t>
            </w:r>
          </w:p>
        </w:tc>
      </w:tr>
    </w:tbl>
    <w:p w:rsidR="0034703B" w:rsidRPr="007B09E4" w:rsidRDefault="0034703B" w:rsidP="007E6FEB">
      <w:pPr>
        <w:tabs>
          <w:tab w:val="left" w:pos="993"/>
        </w:tabs>
        <w:spacing w:before="240" w:after="120"/>
        <w:jc w:val="both"/>
        <w:rPr>
          <w:rFonts w:ascii="Arial" w:hAnsi="Arial" w:cs="Arial"/>
          <w:b/>
          <w:sz w:val="20"/>
          <w:szCs w:val="20"/>
          <w:u w:val="single"/>
        </w:rPr>
      </w:pPr>
    </w:p>
    <w:p w:rsidR="005E65B7" w:rsidRPr="007B09E4" w:rsidRDefault="005E65B7" w:rsidP="005E65B7">
      <w:pPr>
        <w:jc w:val="both"/>
        <w:rPr>
          <w:rFonts w:ascii="Arial" w:hAnsi="Arial" w:cs="Arial"/>
          <w:b/>
          <w:sz w:val="20"/>
          <w:szCs w:val="20"/>
          <w:u w:val="single"/>
        </w:rPr>
      </w:pPr>
    </w:p>
    <w:p w:rsidR="00AE7DDA" w:rsidRPr="007B09E4" w:rsidRDefault="002F0B61" w:rsidP="00AE7DDA">
      <w:pPr>
        <w:jc w:val="both"/>
        <w:rPr>
          <w:rFonts w:ascii="Arial" w:hAnsi="Arial" w:cs="Arial"/>
          <w:sz w:val="20"/>
          <w:szCs w:val="20"/>
        </w:rPr>
      </w:pPr>
      <w:r w:rsidRPr="007B09E4">
        <w:rPr>
          <w:rFonts w:ascii="Arial" w:hAnsi="Arial" w:cs="Arial"/>
          <w:b/>
          <w:sz w:val="20"/>
          <w:szCs w:val="20"/>
          <w:u w:val="single"/>
        </w:rPr>
        <w:t>II/392 Mohelno – most ev. č. 392-014</w:t>
      </w:r>
      <w:bookmarkStart w:id="0" w:name="_GoBack"/>
      <w:bookmarkEnd w:id="0"/>
    </w:p>
    <w:p w:rsidR="00FE09A0" w:rsidRPr="002F0B61" w:rsidRDefault="00FE09A0" w:rsidP="00FE09A0">
      <w:pPr>
        <w:overflowPunct w:val="0"/>
        <w:autoSpaceDE w:val="0"/>
        <w:autoSpaceDN w:val="0"/>
        <w:adjustRightInd w:val="0"/>
        <w:spacing w:before="120" w:after="120" w:line="240" w:lineRule="auto"/>
        <w:jc w:val="both"/>
        <w:textAlignment w:val="baseline"/>
        <w:rPr>
          <w:rFonts w:ascii="Arial" w:eastAsia="Times New Roman" w:hAnsi="Arial" w:cs="Arial"/>
          <w:bCs/>
          <w:sz w:val="20"/>
          <w:szCs w:val="20"/>
          <w:lang w:eastAsia="cs-CZ"/>
        </w:rPr>
      </w:pPr>
      <w:r w:rsidRPr="002F0B61">
        <w:rPr>
          <w:rFonts w:ascii="Arial" w:eastAsia="Times New Roman" w:hAnsi="Arial" w:cs="Arial"/>
          <w:bCs/>
          <w:sz w:val="20"/>
          <w:szCs w:val="20"/>
          <w:lang w:eastAsia="cs-CZ"/>
        </w:rPr>
        <w:t>Předmětem plnění je:</w:t>
      </w:r>
    </w:p>
    <w:p w:rsidR="00FE09A0" w:rsidRPr="002F0B61" w:rsidRDefault="00FE09A0" w:rsidP="00FE09A0">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2F0B61">
        <w:rPr>
          <w:rFonts w:ascii="Arial" w:hAnsi="Arial" w:cs="Arial"/>
          <w:bCs/>
          <w:sz w:val="20"/>
          <w:szCs w:val="20"/>
        </w:rPr>
        <w:t>Geodetické zaměření předmětného území (výškopisné a polohopisné zaměření) v potřebném rozsahu řešení komunikace</w:t>
      </w:r>
    </w:p>
    <w:p w:rsidR="00FE09A0" w:rsidRPr="002F0B61" w:rsidRDefault="00FE09A0" w:rsidP="00FE09A0">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2F0B61">
        <w:rPr>
          <w:rFonts w:ascii="Arial" w:hAnsi="Arial" w:cs="Arial"/>
          <w:bCs/>
          <w:sz w:val="20"/>
          <w:szCs w:val="20"/>
        </w:rPr>
        <w:t>Vypracování diagnostického průzkumu mostu</w:t>
      </w:r>
    </w:p>
    <w:p w:rsidR="00FE09A0" w:rsidRPr="002F0B61" w:rsidRDefault="00FE09A0" w:rsidP="00FE09A0">
      <w:pPr>
        <w:pStyle w:val="Odstavecseseznamem"/>
        <w:numPr>
          <w:ilvl w:val="0"/>
          <w:numId w:val="22"/>
        </w:numPr>
        <w:overflowPunct w:val="0"/>
        <w:autoSpaceDE w:val="0"/>
        <w:autoSpaceDN w:val="0"/>
        <w:adjustRightInd w:val="0"/>
        <w:spacing w:before="120" w:after="120" w:line="240" w:lineRule="auto"/>
        <w:jc w:val="both"/>
        <w:textAlignment w:val="baseline"/>
        <w:rPr>
          <w:rFonts w:ascii="Arial" w:hAnsi="Arial" w:cs="Arial"/>
          <w:bCs/>
          <w:sz w:val="20"/>
          <w:szCs w:val="20"/>
        </w:rPr>
      </w:pPr>
      <w:r w:rsidRPr="002F0B61">
        <w:rPr>
          <w:rFonts w:ascii="Arial" w:hAnsi="Arial" w:cs="Arial"/>
          <w:bCs/>
          <w:sz w:val="20"/>
          <w:szCs w:val="20"/>
        </w:rPr>
        <w:t>Vypracování inž</w:t>
      </w:r>
      <w:r>
        <w:rPr>
          <w:rFonts w:ascii="Arial" w:hAnsi="Arial" w:cs="Arial"/>
          <w:bCs/>
          <w:sz w:val="20"/>
          <w:szCs w:val="20"/>
        </w:rPr>
        <w:t>enýrsko-geologického průzkumu</w:t>
      </w:r>
      <w:r w:rsidRPr="002F0B61">
        <w:rPr>
          <w:rFonts w:ascii="Arial" w:hAnsi="Arial" w:cs="Arial"/>
          <w:bCs/>
          <w:sz w:val="20"/>
          <w:szCs w:val="20"/>
        </w:rPr>
        <w:t xml:space="preserve"> včetně návrhu technického řešení </w:t>
      </w:r>
    </w:p>
    <w:p w:rsidR="00FE09A0" w:rsidRPr="002F0B61" w:rsidRDefault="00FE09A0" w:rsidP="00FE09A0">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2F0B61">
        <w:rPr>
          <w:rFonts w:ascii="Arial" w:hAnsi="Arial" w:cs="Arial"/>
          <w:bCs/>
          <w:sz w:val="20"/>
          <w:szCs w:val="20"/>
        </w:rPr>
        <w:t>Vypracování projektové dokumentace pro povolení záměru</w:t>
      </w:r>
    </w:p>
    <w:p w:rsidR="00FE09A0" w:rsidRPr="002F0B61" w:rsidRDefault="00FE09A0" w:rsidP="00FE09A0">
      <w:pPr>
        <w:overflowPunct w:val="0"/>
        <w:autoSpaceDE w:val="0"/>
        <w:autoSpaceDN w:val="0"/>
        <w:adjustRightInd w:val="0"/>
        <w:spacing w:after="120"/>
        <w:jc w:val="both"/>
        <w:textAlignment w:val="baseline"/>
        <w:rPr>
          <w:rFonts w:ascii="Arial" w:hAnsi="Arial" w:cs="Arial"/>
          <w:bCs/>
          <w:sz w:val="20"/>
          <w:szCs w:val="20"/>
        </w:rPr>
      </w:pPr>
      <w:r w:rsidRPr="002F0B61">
        <w:rPr>
          <w:rFonts w:ascii="Arial" w:hAnsi="Arial" w:cs="Arial"/>
          <w:bCs/>
          <w:sz w:val="20"/>
          <w:szCs w:val="20"/>
        </w:rPr>
        <w:t xml:space="preserve">      -     </w:t>
      </w:r>
      <w:r>
        <w:rPr>
          <w:rFonts w:ascii="Arial" w:hAnsi="Arial" w:cs="Arial"/>
          <w:bCs/>
          <w:sz w:val="20"/>
          <w:szCs w:val="20"/>
        </w:rPr>
        <w:t xml:space="preserve"> </w:t>
      </w:r>
      <w:r w:rsidRPr="002F0B61">
        <w:rPr>
          <w:rFonts w:ascii="Arial" w:hAnsi="Arial" w:cs="Arial"/>
          <w:bCs/>
          <w:sz w:val="20"/>
          <w:szCs w:val="20"/>
        </w:rPr>
        <w:t xml:space="preserve">Zpracování geometrického plánu pro zapsání věcného břemene Povodí Moravy </w:t>
      </w:r>
    </w:p>
    <w:p w:rsidR="00FE09A0" w:rsidRPr="002F0B61" w:rsidRDefault="00FE09A0" w:rsidP="00FE09A0">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2F0B61">
        <w:rPr>
          <w:rFonts w:ascii="Arial" w:hAnsi="Arial" w:cs="Arial"/>
          <w:bCs/>
          <w:sz w:val="20"/>
          <w:szCs w:val="20"/>
        </w:rPr>
        <w:t>Zajištění všech povolení potřebných k vlastní realizaci kompletních stavebních prací a zajištění kladných vyjádření a stanovisek všech dotčených orgánů pro po</w:t>
      </w:r>
      <w:r>
        <w:rPr>
          <w:rFonts w:ascii="Arial" w:hAnsi="Arial" w:cs="Arial"/>
          <w:bCs/>
          <w:sz w:val="20"/>
          <w:szCs w:val="20"/>
        </w:rPr>
        <w:t>dání řádných žádostí o vydání povolení záměru</w:t>
      </w:r>
      <w:r w:rsidRPr="002F0B61">
        <w:rPr>
          <w:rFonts w:ascii="Arial" w:hAnsi="Arial" w:cs="Arial"/>
          <w:bCs/>
          <w:sz w:val="20"/>
          <w:szCs w:val="20"/>
        </w:rPr>
        <w:t xml:space="preserve"> k příslušnému stavebnímu úřadu</w:t>
      </w:r>
    </w:p>
    <w:p w:rsidR="00FE09A0" w:rsidRPr="002F0B61" w:rsidRDefault="00FE09A0" w:rsidP="00FE09A0">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Pr>
          <w:rFonts w:ascii="Arial" w:hAnsi="Arial" w:cs="Arial"/>
          <w:bCs/>
          <w:sz w:val="20"/>
          <w:szCs w:val="20"/>
        </w:rPr>
        <w:t>Zajištění povolení záměru</w:t>
      </w:r>
    </w:p>
    <w:p w:rsidR="00FE09A0" w:rsidRPr="002F0B61" w:rsidRDefault="00FE09A0" w:rsidP="00FE09A0">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2F0B61">
        <w:rPr>
          <w:rFonts w:ascii="Arial" w:hAnsi="Arial" w:cs="Arial"/>
          <w:bCs/>
          <w:sz w:val="20"/>
          <w:szCs w:val="20"/>
        </w:rPr>
        <w:t>Vypracování projektové dokumentace pro provádění stavby včetně oceněného a neoceněného soupisu prací</w:t>
      </w:r>
    </w:p>
    <w:p w:rsidR="00FE09A0" w:rsidRDefault="00FE09A0" w:rsidP="00FE09A0">
      <w:pPr>
        <w:pStyle w:val="Odstavecseseznamem"/>
        <w:numPr>
          <w:ilvl w:val="0"/>
          <w:numId w:val="22"/>
        </w:numPr>
        <w:overflowPunct w:val="0"/>
        <w:autoSpaceDE w:val="0"/>
        <w:autoSpaceDN w:val="0"/>
        <w:adjustRightInd w:val="0"/>
        <w:spacing w:before="120" w:after="120" w:line="240" w:lineRule="auto"/>
        <w:jc w:val="both"/>
        <w:textAlignment w:val="baseline"/>
        <w:rPr>
          <w:rFonts w:ascii="Arial" w:hAnsi="Arial" w:cs="Arial"/>
          <w:bCs/>
          <w:sz w:val="20"/>
          <w:szCs w:val="20"/>
        </w:rPr>
      </w:pPr>
      <w:r w:rsidRPr="002F0B61">
        <w:rPr>
          <w:rFonts w:ascii="Arial" w:hAnsi="Arial" w:cs="Arial"/>
          <w:bCs/>
          <w:sz w:val="20"/>
          <w:szCs w:val="20"/>
        </w:rPr>
        <w:t>Výkon autorského dozoru při realizaci stavby</w:t>
      </w:r>
    </w:p>
    <w:p w:rsidR="00FE09A0" w:rsidRDefault="00FE09A0" w:rsidP="00FE09A0">
      <w:pPr>
        <w:pStyle w:val="Odstavecseseznamem"/>
        <w:numPr>
          <w:ilvl w:val="0"/>
          <w:numId w:val="22"/>
        </w:numPr>
        <w:overflowPunct w:val="0"/>
        <w:autoSpaceDE w:val="0"/>
        <w:autoSpaceDN w:val="0"/>
        <w:adjustRightInd w:val="0"/>
        <w:spacing w:before="120" w:after="120" w:line="240" w:lineRule="auto"/>
        <w:jc w:val="both"/>
        <w:textAlignment w:val="baseline"/>
        <w:rPr>
          <w:rFonts w:ascii="Arial" w:hAnsi="Arial" w:cs="Arial"/>
          <w:bCs/>
          <w:sz w:val="20"/>
          <w:szCs w:val="20"/>
        </w:rPr>
      </w:pPr>
    </w:p>
    <w:p w:rsidR="00FE09A0" w:rsidRPr="00756677" w:rsidRDefault="00FE09A0" w:rsidP="00FE09A0">
      <w:pPr>
        <w:overflowPunct w:val="0"/>
        <w:autoSpaceDE w:val="0"/>
        <w:autoSpaceDN w:val="0"/>
        <w:adjustRightInd w:val="0"/>
        <w:spacing w:after="0"/>
        <w:jc w:val="both"/>
        <w:textAlignment w:val="baseline"/>
        <w:rPr>
          <w:rFonts w:ascii="Arial" w:hAnsi="Arial" w:cs="Arial"/>
          <w:sz w:val="20"/>
          <w:szCs w:val="20"/>
        </w:rPr>
      </w:pPr>
      <w:r w:rsidRPr="00756677">
        <w:rPr>
          <w:rFonts w:ascii="Arial" w:hAnsi="Arial" w:cs="Arial"/>
          <w:bCs/>
          <w:sz w:val="20"/>
          <w:szCs w:val="20"/>
        </w:rPr>
        <w:t xml:space="preserve">Stávající most </w:t>
      </w:r>
      <w:r w:rsidRPr="00756677">
        <w:rPr>
          <w:rFonts w:ascii="Arial" w:hAnsi="Arial" w:cs="Arial"/>
          <w:sz w:val="20"/>
          <w:szCs w:val="20"/>
        </w:rPr>
        <w:t>ev. č. 392-014 převádí stávající vodoteč a nachází se v extravilánu obce Mohelno, staničení km 2,566 silnice II/392. Vodní tok spadá pod správu Povodí Moravy.</w:t>
      </w:r>
    </w:p>
    <w:p w:rsidR="00FE09A0" w:rsidRDefault="00FE09A0" w:rsidP="00FE09A0">
      <w:pPr>
        <w:overflowPunct w:val="0"/>
        <w:autoSpaceDE w:val="0"/>
        <w:autoSpaceDN w:val="0"/>
        <w:adjustRightInd w:val="0"/>
        <w:spacing w:after="0"/>
        <w:jc w:val="both"/>
        <w:textAlignment w:val="baseline"/>
        <w:rPr>
          <w:rFonts w:ascii="Arial" w:hAnsi="Arial" w:cs="Arial"/>
          <w:sz w:val="20"/>
          <w:szCs w:val="20"/>
        </w:rPr>
      </w:pPr>
      <w:r w:rsidRPr="00756677">
        <w:rPr>
          <w:rFonts w:ascii="Arial" w:hAnsi="Arial" w:cs="Arial"/>
          <w:sz w:val="20"/>
          <w:szCs w:val="20"/>
        </w:rPr>
        <w:t xml:space="preserve">Nosnou konstrukci tvoří 3 mostní pole. Rok postavení mostu je 1949 - viz údaj z ML. </w:t>
      </w:r>
    </w:p>
    <w:p w:rsidR="00FE09A0" w:rsidRDefault="00FE09A0" w:rsidP="00FE09A0">
      <w:pPr>
        <w:overflowPunct w:val="0"/>
        <w:autoSpaceDE w:val="0"/>
        <w:autoSpaceDN w:val="0"/>
        <w:adjustRightInd w:val="0"/>
        <w:spacing w:after="0"/>
        <w:jc w:val="both"/>
        <w:textAlignment w:val="baseline"/>
        <w:rPr>
          <w:rFonts w:ascii="Arial" w:hAnsi="Arial" w:cs="Arial"/>
          <w:sz w:val="20"/>
          <w:szCs w:val="20"/>
        </w:rPr>
      </w:pPr>
    </w:p>
    <w:p w:rsidR="00FE09A0" w:rsidRPr="00756677" w:rsidRDefault="00FE09A0" w:rsidP="00FE09A0">
      <w:pPr>
        <w:overflowPunct w:val="0"/>
        <w:autoSpaceDE w:val="0"/>
        <w:autoSpaceDN w:val="0"/>
        <w:adjustRightInd w:val="0"/>
        <w:spacing w:after="0"/>
        <w:jc w:val="both"/>
        <w:textAlignment w:val="baseline"/>
        <w:rPr>
          <w:rFonts w:ascii="Arial" w:hAnsi="Arial" w:cs="Arial"/>
          <w:sz w:val="20"/>
          <w:szCs w:val="20"/>
        </w:rPr>
      </w:pPr>
      <w:r w:rsidRPr="00756677">
        <w:rPr>
          <w:rFonts w:ascii="Arial" w:hAnsi="Arial" w:cs="Arial"/>
          <w:sz w:val="20"/>
          <w:szCs w:val="20"/>
        </w:rPr>
        <w:t>Mostní podpěry (obě opěry i dva vnitřní pilíře) jsou zděné z kamenných kvádrů. ŽB úložné prahy výšky 0,5m . Rovnoběžná křídla jsou zděná z kamenných kvádrů.</w:t>
      </w:r>
    </w:p>
    <w:p w:rsidR="00FE09A0" w:rsidRPr="00756677" w:rsidRDefault="00FE09A0" w:rsidP="00FE09A0">
      <w:pPr>
        <w:overflowPunct w:val="0"/>
        <w:autoSpaceDE w:val="0"/>
        <w:autoSpaceDN w:val="0"/>
        <w:adjustRightInd w:val="0"/>
        <w:spacing w:after="0"/>
        <w:jc w:val="both"/>
        <w:textAlignment w:val="baseline"/>
        <w:rPr>
          <w:rFonts w:ascii="Arial" w:hAnsi="Arial" w:cs="Arial"/>
          <w:sz w:val="20"/>
          <w:szCs w:val="20"/>
        </w:rPr>
      </w:pPr>
      <w:r w:rsidRPr="00756677">
        <w:rPr>
          <w:rFonts w:ascii="Arial" w:hAnsi="Arial" w:cs="Arial"/>
          <w:sz w:val="20"/>
          <w:szCs w:val="20"/>
        </w:rPr>
        <w:t>Nosnou konstrukci tvoří spojitá ŽB deska s parabolickými náběhy u pilířů. Uložení na obou opěrách na pohyblivá ocelová válečková ložiska. Na pilířích jsou pevné podpory-vrubové klouby. Mostní závěry jsou podpovrchové. Římsy ŽB monolitické na pravé straně v. 0.38m, š. 0.38m, na levé straně v. 0,35 m, š. 0,35 m. Izolace mostovky je vanová provedená do zvýšených říms.</w:t>
      </w:r>
    </w:p>
    <w:p w:rsidR="00FE09A0" w:rsidRDefault="00FE09A0" w:rsidP="00FE09A0">
      <w:pPr>
        <w:overflowPunct w:val="0"/>
        <w:autoSpaceDE w:val="0"/>
        <w:autoSpaceDN w:val="0"/>
        <w:adjustRightInd w:val="0"/>
        <w:spacing w:after="0"/>
        <w:jc w:val="both"/>
        <w:textAlignment w:val="baseline"/>
        <w:rPr>
          <w:rFonts w:ascii="Arial" w:hAnsi="Arial" w:cs="Arial"/>
          <w:sz w:val="20"/>
          <w:szCs w:val="20"/>
        </w:rPr>
      </w:pPr>
    </w:p>
    <w:p w:rsidR="00FE09A0" w:rsidRPr="00756677" w:rsidRDefault="00FE09A0" w:rsidP="00FE09A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 </w:t>
      </w:r>
      <w:r w:rsidRPr="00756677">
        <w:rPr>
          <w:rFonts w:ascii="Arial" w:hAnsi="Arial" w:cs="Arial"/>
          <w:sz w:val="20"/>
          <w:szCs w:val="20"/>
        </w:rPr>
        <w:t>Zábradlí tvoří ŽB sloupky průřezu 410x210mm a 210x210mm s oc. vodorovnou výplní se 3 madly, vpravo v. 092m, vlevo v. 0.92m od římsy. Horní madlo ŽB průřezu 320x160mm, vnitřní 2 madla - trubka prům. 60mm. Veškeré bet</w:t>
      </w:r>
      <w:r>
        <w:rPr>
          <w:rFonts w:ascii="Arial" w:hAnsi="Arial" w:cs="Arial"/>
          <w:sz w:val="20"/>
          <w:szCs w:val="20"/>
        </w:rPr>
        <w:t>.</w:t>
      </w:r>
      <w:r w:rsidRPr="00756677">
        <w:rPr>
          <w:rFonts w:ascii="Arial" w:hAnsi="Arial" w:cs="Arial"/>
          <w:sz w:val="20"/>
          <w:szCs w:val="20"/>
        </w:rPr>
        <w:t xml:space="preserve"> k</w:t>
      </w:r>
      <w:r>
        <w:rPr>
          <w:rFonts w:ascii="Arial" w:hAnsi="Arial" w:cs="Arial"/>
          <w:sz w:val="20"/>
          <w:szCs w:val="20"/>
        </w:rPr>
        <w:t>-</w:t>
      </w:r>
      <w:r w:rsidRPr="00756677">
        <w:rPr>
          <w:rFonts w:ascii="Arial" w:hAnsi="Arial" w:cs="Arial"/>
          <w:sz w:val="20"/>
          <w:szCs w:val="20"/>
        </w:rPr>
        <w:t>ce vyjma podhledu desky jsou omítnuté.</w:t>
      </w:r>
    </w:p>
    <w:p w:rsidR="00FE09A0" w:rsidRPr="00756677" w:rsidRDefault="00FE09A0" w:rsidP="00FE09A0">
      <w:pPr>
        <w:overflowPunct w:val="0"/>
        <w:autoSpaceDE w:val="0"/>
        <w:autoSpaceDN w:val="0"/>
        <w:adjustRightInd w:val="0"/>
        <w:spacing w:after="0"/>
        <w:jc w:val="both"/>
        <w:textAlignment w:val="baseline"/>
        <w:rPr>
          <w:rFonts w:ascii="Arial" w:hAnsi="Arial" w:cs="Arial"/>
          <w:sz w:val="20"/>
          <w:szCs w:val="20"/>
        </w:rPr>
      </w:pPr>
      <w:r w:rsidRPr="00756677">
        <w:rPr>
          <w:rFonts w:ascii="Arial" w:hAnsi="Arial" w:cs="Arial"/>
          <w:sz w:val="20"/>
          <w:szCs w:val="20"/>
        </w:rPr>
        <w:t>Na mostě se nachází cizí zařízení - bod státní nivelace nad OP1 vlevo na ukončující zídce zábradlí. Podél římsy na návodní straně zavěšena na sloupcích zábradlí ocelová chránička prům. 135 mm. tel. kabel.</w:t>
      </w:r>
    </w:p>
    <w:p w:rsidR="00FE09A0" w:rsidRPr="00756677" w:rsidRDefault="00FE09A0" w:rsidP="00FE09A0">
      <w:pPr>
        <w:overflowPunct w:val="0"/>
        <w:autoSpaceDE w:val="0"/>
        <w:autoSpaceDN w:val="0"/>
        <w:adjustRightInd w:val="0"/>
        <w:spacing w:after="0"/>
        <w:jc w:val="both"/>
        <w:textAlignment w:val="baseline"/>
        <w:rPr>
          <w:rFonts w:ascii="Arial" w:hAnsi="Arial" w:cs="Arial"/>
          <w:sz w:val="20"/>
          <w:szCs w:val="20"/>
        </w:rPr>
      </w:pPr>
    </w:p>
    <w:p w:rsidR="00FE09A0" w:rsidRPr="00756677" w:rsidRDefault="00FE09A0" w:rsidP="00FE09A0">
      <w:pPr>
        <w:autoSpaceDE w:val="0"/>
        <w:autoSpaceDN w:val="0"/>
        <w:adjustRightInd w:val="0"/>
        <w:spacing w:after="0" w:line="240" w:lineRule="auto"/>
        <w:rPr>
          <w:rFonts w:ascii="Arial" w:hAnsi="Arial" w:cs="Arial"/>
          <w:sz w:val="20"/>
          <w:szCs w:val="20"/>
        </w:rPr>
      </w:pPr>
      <w:r w:rsidRPr="00756677">
        <w:rPr>
          <w:rFonts w:ascii="Arial" w:hAnsi="Arial" w:cs="Arial"/>
          <w:sz w:val="20"/>
          <w:szCs w:val="20"/>
        </w:rPr>
        <w:t xml:space="preserve">Stav mostu a jeho závady: </w:t>
      </w:r>
    </w:p>
    <w:p w:rsidR="00FE09A0" w:rsidRPr="00756677" w:rsidRDefault="00FE09A0" w:rsidP="00FE09A0">
      <w:pPr>
        <w:autoSpaceDE w:val="0"/>
        <w:autoSpaceDN w:val="0"/>
        <w:adjustRightInd w:val="0"/>
        <w:spacing w:after="0" w:line="240" w:lineRule="auto"/>
        <w:rPr>
          <w:rFonts w:ascii="Arial" w:hAnsi="Arial" w:cs="Arial"/>
          <w:sz w:val="20"/>
          <w:szCs w:val="20"/>
        </w:rPr>
      </w:pPr>
      <w:r w:rsidRPr="00756677">
        <w:rPr>
          <w:rFonts w:ascii="Arial" w:hAnsi="Arial" w:cs="Arial"/>
          <w:sz w:val="20"/>
          <w:szCs w:val="20"/>
        </w:rPr>
        <w:t>Na opěrách patrné průsaky, úložné prahy jsou zanesené nečistotami</w:t>
      </w:r>
      <w:r>
        <w:rPr>
          <w:rFonts w:ascii="Arial" w:hAnsi="Arial" w:cs="Arial"/>
          <w:sz w:val="20"/>
          <w:szCs w:val="20"/>
        </w:rPr>
        <w:t>. Na nárožích OP4 š. 5 mm ve spá</w:t>
      </w:r>
      <w:r w:rsidRPr="00756677">
        <w:rPr>
          <w:rFonts w:ascii="Arial" w:hAnsi="Arial" w:cs="Arial"/>
          <w:sz w:val="20"/>
          <w:szCs w:val="20"/>
        </w:rPr>
        <w:t>rách jsou svislé trhliny. Svrchní vrstvy úložných prahů vystavené stékající vodě degradují. Na křídla stéká voda z říms. Kamenné zdivo křídel má místy výkvěty a inkrustaci. V blízkém okolí křídel je uchycená vegetace. Na dolním povrchu NK stopy po zatékání a průsaky kolem odvodňovačů. Stékaní vody po bocích konstrukce, výluhy, tvorba krápníků, vznik mozaikových trhlin v omítce v místech zatékání. Ojediněle obnažená výztuž v místech s nedostatečnou tloušťkou krycí vrstvy. Na podhledu NK jsou viditelné trhliny. Při přejezdu TNV znatelné vibrace. Na opěrách ložisek je silná koroze. Mostní závěry jsou netěsné - stopy po zatékání na úložný práh. Vozovka je vyspravovaná, před i za mostem příčné trhliny v místech podpovrchových závěrů, příčné, podélné a mozaikové trhliny na mostě.  Římsa a zábradlí na LS za OP4 je utržená a vyklání se směrem ven z mostu. Izolační systém NK je nefunkční, dochází k zatékání do konstrukce. Dochází na POS k zamáčení NK kolem odpadních rour.</w:t>
      </w:r>
    </w:p>
    <w:p w:rsidR="00756677" w:rsidRPr="007B09E4" w:rsidRDefault="00756677" w:rsidP="00756677">
      <w:pPr>
        <w:overflowPunct w:val="0"/>
        <w:autoSpaceDE w:val="0"/>
        <w:autoSpaceDN w:val="0"/>
        <w:adjustRightInd w:val="0"/>
        <w:spacing w:before="120" w:after="120" w:line="240" w:lineRule="auto"/>
        <w:jc w:val="both"/>
        <w:textAlignment w:val="baseline"/>
        <w:rPr>
          <w:rFonts w:ascii="Arial" w:hAnsi="Arial" w:cs="Arial"/>
          <w:bCs/>
          <w:sz w:val="20"/>
          <w:szCs w:val="20"/>
        </w:rPr>
      </w:pPr>
    </w:p>
    <w:p w:rsidR="002F0B61" w:rsidRPr="007B09E4" w:rsidRDefault="002F0B61" w:rsidP="00AE7DDA">
      <w:pPr>
        <w:spacing w:after="120" w:line="240" w:lineRule="auto"/>
        <w:jc w:val="both"/>
        <w:rPr>
          <w:rFonts w:ascii="Arial" w:hAnsi="Arial" w:cs="Arial"/>
          <w:b/>
          <w:sz w:val="20"/>
          <w:szCs w:val="20"/>
        </w:rPr>
      </w:pPr>
    </w:p>
    <w:p w:rsidR="002F0B61" w:rsidRPr="007B09E4" w:rsidRDefault="002F0B61" w:rsidP="00AE7DDA">
      <w:pPr>
        <w:spacing w:after="120" w:line="240" w:lineRule="auto"/>
        <w:jc w:val="both"/>
        <w:rPr>
          <w:rFonts w:ascii="Arial" w:hAnsi="Arial" w:cs="Arial"/>
          <w:b/>
          <w:sz w:val="20"/>
          <w:szCs w:val="20"/>
        </w:rPr>
      </w:pPr>
    </w:p>
    <w:p w:rsidR="00756677" w:rsidRPr="007B09E4" w:rsidRDefault="00756677" w:rsidP="00756677">
      <w:pPr>
        <w:overflowPunct w:val="0"/>
        <w:autoSpaceDE w:val="0"/>
        <w:autoSpaceDN w:val="0"/>
        <w:adjustRightInd w:val="0"/>
        <w:spacing w:after="0"/>
        <w:jc w:val="both"/>
        <w:textAlignment w:val="baseline"/>
        <w:rPr>
          <w:rFonts w:ascii="Arial" w:hAnsi="Arial" w:cs="Arial"/>
          <w:sz w:val="20"/>
          <w:szCs w:val="20"/>
        </w:rPr>
      </w:pPr>
      <w:r w:rsidRPr="007B09E4">
        <w:rPr>
          <w:rFonts w:ascii="Arial" w:hAnsi="Arial" w:cs="Arial"/>
          <w:sz w:val="20"/>
          <w:szCs w:val="20"/>
        </w:rPr>
        <w:lastRenderedPageBreak/>
        <w:t>Nosná konstrukce je ve stavu IV – uspokojivý, spodní stavba IV – uspokojivý, použitelnost: IV – omezeně použitelné.</w:t>
      </w:r>
    </w:p>
    <w:p w:rsidR="00756677" w:rsidRPr="007B09E4" w:rsidRDefault="00756677" w:rsidP="00756677">
      <w:pPr>
        <w:overflowPunct w:val="0"/>
        <w:autoSpaceDE w:val="0"/>
        <w:autoSpaceDN w:val="0"/>
        <w:adjustRightInd w:val="0"/>
        <w:spacing w:after="0"/>
        <w:jc w:val="both"/>
        <w:textAlignment w:val="baseline"/>
        <w:rPr>
          <w:rFonts w:ascii="Arial" w:hAnsi="Arial" w:cs="Arial"/>
          <w:sz w:val="20"/>
          <w:szCs w:val="20"/>
          <w:highlight w:val="yellow"/>
        </w:rPr>
      </w:pPr>
    </w:p>
    <w:p w:rsidR="00756677" w:rsidRPr="007B09E4" w:rsidRDefault="00756677" w:rsidP="00756677">
      <w:pPr>
        <w:overflowPunct w:val="0"/>
        <w:autoSpaceDE w:val="0"/>
        <w:autoSpaceDN w:val="0"/>
        <w:adjustRightInd w:val="0"/>
        <w:spacing w:after="0"/>
        <w:jc w:val="both"/>
        <w:textAlignment w:val="baseline"/>
        <w:rPr>
          <w:rFonts w:ascii="Arial" w:hAnsi="Arial" w:cs="Arial"/>
          <w:sz w:val="20"/>
          <w:szCs w:val="20"/>
        </w:rPr>
      </w:pPr>
      <w:r w:rsidRPr="007B09E4">
        <w:rPr>
          <w:rFonts w:ascii="Arial" w:hAnsi="Arial" w:cs="Arial"/>
          <w:sz w:val="20"/>
          <w:szCs w:val="20"/>
        </w:rPr>
        <w:t>Celkový počet polí: 3, délka přemostění 59 m, délka NK 60,5 m, šikmost levá 80 g, volná šířka 9 m, celková šířka mostu 9,5 m, plocha mostu 574,75 m2.</w:t>
      </w:r>
    </w:p>
    <w:p w:rsidR="00756677" w:rsidRPr="007B09E4" w:rsidRDefault="00756677" w:rsidP="00756677">
      <w:pPr>
        <w:overflowPunct w:val="0"/>
        <w:autoSpaceDE w:val="0"/>
        <w:autoSpaceDN w:val="0"/>
        <w:adjustRightInd w:val="0"/>
        <w:spacing w:after="0"/>
        <w:jc w:val="both"/>
        <w:textAlignment w:val="baseline"/>
        <w:rPr>
          <w:rFonts w:ascii="Arial" w:hAnsi="Arial" w:cs="Arial"/>
          <w:sz w:val="20"/>
          <w:szCs w:val="20"/>
        </w:rPr>
      </w:pPr>
      <w:r w:rsidRPr="007B09E4">
        <w:rPr>
          <w:rFonts w:ascii="Arial" w:hAnsi="Arial" w:cs="Arial"/>
          <w:sz w:val="20"/>
          <w:szCs w:val="20"/>
        </w:rPr>
        <w:t>Zatížitelnost: Vn = 14 t, Vr = 28 t, Ve = 92 t, Vaj(Va) = 10,5 t.</w:t>
      </w:r>
    </w:p>
    <w:p w:rsidR="00756677" w:rsidRPr="007B09E4" w:rsidRDefault="00756677" w:rsidP="00756677">
      <w:pPr>
        <w:autoSpaceDE w:val="0"/>
        <w:autoSpaceDN w:val="0"/>
        <w:adjustRightInd w:val="0"/>
        <w:spacing w:after="0" w:line="240" w:lineRule="auto"/>
        <w:rPr>
          <w:rFonts w:ascii="Arial" w:hAnsi="Arial" w:cs="Arial"/>
          <w:sz w:val="20"/>
          <w:szCs w:val="20"/>
        </w:rPr>
      </w:pPr>
    </w:p>
    <w:p w:rsidR="00756677" w:rsidRPr="007B09E4" w:rsidRDefault="00756677" w:rsidP="00756677">
      <w:pPr>
        <w:jc w:val="both"/>
        <w:rPr>
          <w:rFonts w:ascii="Arial" w:hAnsi="Arial" w:cs="Arial"/>
          <w:sz w:val="20"/>
          <w:szCs w:val="20"/>
        </w:rPr>
      </w:pPr>
      <w:r w:rsidRPr="007B09E4">
        <w:rPr>
          <w:rFonts w:ascii="Arial" w:hAnsi="Arial" w:cs="Arial"/>
          <w:sz w:val="20"/>
          <w:szCs w:val="20"/>
        </w:rPr>
        <w:t>Zadavatel předpokládá, že stavební realizace bude probíhat za úplného uzavřeného silničního provozu. Předpokládaná doba realizace stavebních prací - rok 2027.</w:t>
      </w:r>
    </w:p>
    <w:p w:rsidR="00756677" w:rsidRPr="007B09E4" w:rsidRDefault="00756677" w:rsidP="00756677">
      <w:pPr>
        <w:jc w:val="both"/>
        <w:rPr>
          <w:rFonts w:ascii="Arial" w:hAnsi="Arial" w:cs="Arial"/>
          <w:sz w:val="20"/>
          <w:szCs w:val="20"/>
        </w:rPr>
      </w:pPr>
      <w:r w:rsidRPr="007B09E4">
        <w:rPr>
          <w:rFonts w:ascii="Arial" w:hAnsi="Arial" w:cs="Arial"/>
          <w:sz w:val="20"/>
          <w:szCs w:val="20"/>
        </w:rPr>
        <w:t>Projektové dokumentace v jednotlivých stupních budou vypracovány v rozsahu daném platnými předpisy v době zpracování a předání dokončeného předmětu plnění.</w:t>
      </w:r>
    </w:p>
    <w:p w:rsidR="003073A2" w:rsidRPr="007B09E4" w:rsidRDefault="003073A2" w:rsidP="003073A2">
      <w:pPr>
        <w:rPr>
          <w:rFonts w:ascii="Arial" w:hAnsi="Arial" w:cs="Arial"/>
          <w:b/>
          <w:sz w:val="20"/>
          <w:szCs w:val="20"/>
          <w:u w:val="single"/>
        </w:rPr>
      </w:pPr>
      <w:r w:rsidRPr="007B09E4">
        <w:rPr>
          <w:rFonts w:ascii="Arial" w:hAnsi="Arial" w:cs="Arial"/>
          <w:b/>
          <w:sz w:val="20"/>
          <w:szCs w:val="20"/>
          <w:u w:val="single"/>
        </w:rPr>
        <w:t>Technické podmínky</w:t>
      </w:r>
    </w:p>
    <w:p w:rsidR="003073A2" w:rsidRPr="007B09E4" w:rsidRDefault="003073A2" w:rsidP="003073A2">
      <w:pPr>
        <w:rPr>
          <w:rFonts w:ascii="Arial" w:hAnsi="Arial" w:cs="Arial"/>
          <w:b/>
          <w:sz w:val="20"/>
          <w:szCs w:val="20"/>
          <w:u w:val="single"/>
        </w:rPr>
      </w:pPr>
      <w:r w:rsidRPr="007B09E4">
        <w:rPr>
          <w:rFonts w:ascii="Arial" w:hAnsi="Arial" w:cs="Arial"/>
          <w:b/>
          <w:sz w:val="20"/>
          <w:szCs w:val="20"/>
          <w:u w:val="single"/>
        </w:rPr>
        <w:t>Vypracování dokumentace pro povolení záměru v souladu s § 157 odst. (2) Stavebního zákona 283/2021</w:t>
      </w:r>
    </w:p>
    <w:p w:rsidR="003073A2" w:rsidRPr="007B09E4" w:rsidRDefault="003073A2" w:rsidP="003073A2">
      <w:pPr>
        <w:jc w:val="both"/>
        <w:rPr>
          <w:rFonts w:ascii="Arial" w:hAnsi="Arial" w:cs="Arial"/>
          <w:sz w:val="20"/>
          <w:szCs w:val="20"/>
        </w:rPr>
      </w:pPr>
      <w:r w:rsidRPr="007B09E4">
        <w:rPr>
          <w:rFonts w:ascii="Arial" w:hAnsi="Arial" w:cs="Arial"/>
          <w:sz w:val="20"/>
          <w:szCs w:val="20"/>
        </w:rPr>
        <w:t>Rozsah a obsah dokumentace je stanoven Směrnicí pro dokumentaci staveb pozemních komunikací, schválené Ministerstvem dopravy, Odborem pozemních komunikací, č. j. MD-45948/2025-940/2, v srpnu 2025, s účinností od 15. 8. 2025 se současným zrušením Směrnice pro dokumentaci staveb PK schválené Ministerstvem dopravy, Odborem liniových staveb a silničního správního úřadu č. j. MD-23142/2022-930/2, ze dne 12. 7. 2022, s výjimkou kapitol souvisejících s aplikací přechodných ustanovení zákona č. 283/2021 Sb., jejichž účinnost končí ke dni 30. 6. 2027,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 o rozsahu a obsahu projektové dokumentace staveb dopravní infrastruktury,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stavebních demoličních mate</w:t>
      </w:r>
      <w:r w:rsidR="00AB7DC2">
        <w:rPr>
          <w:rFonts w:ascii="Arial" w:hAnsi="Arial" w:cs="Arial"/>
          <w:sz w:val="20"/>
          <w:szCs w:val="20"/>
        </w:rPr>
        <w:t xml:space="preserve">riálů do pozemních komunikací, </w:t>
      </w:r>
      <w:r w:rsidRPr="007B09E4">
        <w:rPr>
          <w:rFonts w:ascii="Arial" w:hAnsi="Arial" w:cs="Arial"/>
          <w:sz w:val="20"/>
          <w:szCs w:val="20"/>
        </w:rPr>
        <w:t>schválené Ministerstvem dopravy, Odborem liniových staveb a silničního správního úřadu pod č. j. MD-43101/2023-930/2 ze dne 19. 12. 2023 s účinností od 1. 1. 2024 z 12/2023 a Technické kvalitativní podmínky staveb pozemních komunikací, Kap</w:t>
      </w:r>
      <w:r w:rsidR="00AB7DC2">
        <w:rPr>
          <w:rFonts w:ascii="Arial" w:hAnsi="Arial" w:cs="Arial"/>
          <w:sz w:val="20"/>
          <w:szCs w:val="20"/>
        </w:rPr>
        <w:t xml:space="preserve">itola 1 Všeobecně, Změna č. 2, </w:t>
      </w:r>
      <w:r w:rsidRPr="007B09E4">
        <w:rPr>
          <w:rFonts w:ascii="Arial" w:hAnsi="Arial" w:cs="Arial"/>
          <w:sz w:val="20"/>
          <w:szCs w:val="20"/>
        </w:rPr>
        <w:t>schváleno Ministerstvem dopravy, Odborem pozemních komunikací pod č. j. MD-45948/2025-940/3 v srpnu 2025 s účinností od 15. 8. 2025, Zákon č. 318/2025 Sb.</w:t>
      </w:r>
      <w:r w:rsidR="00AB7DC2">
        <w:rPr>
          <w:rFonts w:ascii="Arial" w:hAnsi="Arial" w:cs="Arial"/>
          <w:sz w:val="20"/>
          <w:szCs w:val="20"/>
        </w:rPr>
        <w:t xml:space="preserve"> </w:t>
      </w:r>
      <w:proofErr w:type="gramStart"/>
      <w:r w:rsidRPr="007B09E4">
        <w:rPr>
          <w:rFonts w:ascii="Arial" w:hAnsi="Arial" w:cs="Arial"/>
          <w:sz w:val="20"/>
          <w:szCs w:val="20"/>
        </w:rPr>
        <w:t>Zákon</w:t>
      </w:r>
      <w:proofErr w:type="gramEnd"/>
      <w:r w:rsidRPr="007B09E4">
        <w:rPr>
          <w:rFonts w:ascii="Arial" w:hAnsi="Arial" w:cs="Arial"/>
          <w:sz w:val="20"/>
          <w:szCs w:val="20"/>
        </w:rPr>
        <w:t>,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Nařízení vlády č. 319/2025 Sb.Nařízení vlády, kterým se mění nařízení vlády č. 591/2006 Sb., o bližších minimálních požadavcích na bezpečnost a ochranu zdraví při práci na staveništích, ve znění nařízení vlády č. 136/2016 Sb.,vše v platném znění a bude obsahovat :</w:t>
      </w:r>
    </w:p>
    <w:p w:rsidR="003073A2" w:rsidRPr="007B09E4" w:rsidRDefault="003073A2" w:rsidP="003073A2">
      <w:pPr>
        <w:jc w:val="both"/>
        <w:rPr>
          <w:rFonts w:ascii="Arial" w:hAnsi="Arial" w:cs="Arial"/>
          <w:sz w:val="20"/>
          <w:szCs w:val="20"/>
        </w:rPr>
      </w:pPr>
      <w:r w:rsidRPr="007B09E4">
        <w:rPr>
          <w:rFonts w:ascii="Arial" w:hAnsi="Arial" w:cs="Arial"/>
          <w:sz w:val="20"/>
          <w:szCs w:val="20"/>
        </w:rPr>
        <w:t>Vlastní návrh technického řešení rekonstrukce mostu bude proveden na základě vypracovaného IGP a diagnostického průzkumu. Návrh bude projednaný na vstupním výrobním výboru. Součástí dokumentace bude řešení případných přeložek inženýrských sítí a úprava konstrukce silnice v daném rozsahu.</w:t>
      </w:r>
    </w:p>
    <w:p w:rsidR="003073A2" w:rsidRPr="007B09E4" w:rsidRDefault="003073A2" w:rsidP="003073A2">
      <w:pPr>
        <w:jc w:val="both"/>
        <w:rPr>
          <w:rFonts w:ascii="Arial" w:hAnsi="Arial" w:cs="Arial"/>
          <w:sz w:val="20"/>
          <w:szCs w:val="20"/>
        </w:rPr>
      </w:pPr>
      <w:r w:rsidRPr="007B09E4">
        <w:rPr>
          <w:rFonts w:ascii="Arial" w:hAnsi="Arial" w:cs="Arial"/>
          <w:sz w:val="20"/>
          <w:szCs w:val="20"/>
        </w:rPr>
        <w:t xml:space="preserve">Zpracování Geometrického plánu, jeho projednání a vklad na příslušný Katastrální úřad pro zapsání věcného břemene (služebnosti) u případného trvalého záboru mostu na pozemku, se kterým hospodaří Povodí Moravy, pro možnost následného majetkoprávního vypořádání zadavatelem </w:t>
      </w:r>
    </w:p>
    <w:p w:rsidR="003073A2" w:rsidRPr="007B09E4" w:rsidRDefault="003073A2" w:rsidP="003073A2">
      <w:pPr>
        <w:jc w:val="both"/>
        <w:rPr>
          <w:rFonts w:ascii="Arial" w:hAnsi="Arial" w:cs="Arial"/>
          <w:sz w:val="20"/>
          <w:szCs w:val="20"/>
        </w:rPr>
      </w:pPr>
      <w:r w:rsidRPr="007B09E4">
        <w:rPr>
          <w:rFonts w:ascii="Arial" w:hAnsi="Arial" w:cs="Arial"/>
          <w:sz w:val="20"/>
          <w:szCs w:val="20"/>
        </w:rPr>
        <w:t>Geodetické zaměření předmětného území (výškopisné a polohopisné zaměření) v potřebném rozsahu rekonstrukce mostu</w:t>
      </w:r>
    </w:p>
    <w:p w:rsidR="003073A2" w:rsidRPr="007B09E4" w:rsidRDefault="003073A2" w:rsidP="003073A2">
      <w:pPr>
        <w:jc w:val="both"/>
        <w:rPr>
          <w:rFonts w:ascii="Arial" w:hAnsi="Arial" w:cs="Arial"/>
          <w:sz w:val="20"/>
          <w:szCs w:val="20"/>
        </w:rPr>
      </w:pPr>
      <w:r w:rsidRPr="007B09E4">
        <w:rPr>
          <w:rFonts w:ascii="Arial" w:hAnsi="Arial" w:cs="Arial"/>
          <w:sz w:val="20"/>
          <w:szCs w:val="20"/>
        </w:rPr>
        <w:lastRenderedPageBreak/>
        <w:t>Podrobný inženýrskogeologický, geotechnický a hydrogeologický průzkum daného území (pokud bude pro zpracování PD a vydání příslušných stanovisek a povolení nutné)</w:t>
      </w:r>
    </w:p>
    <w:p w:rsidR="003073A2" w:rsidRPr="007B09E4" w:rsidRDefault="003073A2" w:rsidP="003073A2">
      <w:pPr>
        <w:jc w:val="both"/>
        <w:rPr>
          <w:rFonts w:ascii="Arial" w:hAnsi="Arial" w:cs="Arial"/>
          <w:sz w:val="20"/>
          <w:szCs w:val="20"/>
        </w:rPr>
      </w:pPr>
      <w:r w:rsidRPr="007B09E4">
        <w:rPr>
          <w:rFonts w:ascii="Arial" w:hAnsi="Arial" w:cs="Arial"/>
          <w:sz w:val="20"/>
          <w:szCs w:val="20"/>
        </w:rPr>
        <w:t>Zákres stavby do aktuální katastrální mapy</w:t>
      </w:r>
    </w:p>
    <w:p w:rsidR="003073A2" w:rsidRPr="007B09E4" w:rsidRDefault="003073A2" w:rsidP="003073A2">
      <w:pPr>
        <w:jc w:val="both"/>
        <w:rPr>
          <w:rFonts w:ascii="Arial" w:hAnsi="Arial" w:cs="Arial"/>
          <w:sz w:val="20"/>
          <w:szCs w:val="20"/>
        </w:rPr>
      </w:pPr>
      <w:r w:rsidRPr="007B09E4">
        <w:rPr>
          <w:rFonts w:ascii="Arial" w:hAnsi="Arial" w:cs="Arial"/>
          <w:sz w:val="20"/>
          <w:szCs w:val="20"/>
        </w:rPr>
        <w:t>Vytyčovací výkres stavby</w:t>
      </w:r>
    </w:p>
    <w:p w:rsidR="003073A2" w:rsidRPr="007B09E4" w:rsidRDefault="003073A2" w:rsidP="003073A2">
      <w:pPr>
        <w:jc w:val="both"/>
        <w:rPr>
          <w:rFonts w:ascii="Arial" w:hAnsi="Arial" w:cs="Arial"/>
          <w:sz w:val="20"/>
          <w:szCs w:val="20"/>
        </w:rPr>
      </w:pPr>
      <w:r w:rsidRPr="007B09E4">
        <w:rPr>
          <w:rFonts w:ascii="Arial" w:hAnsi="Arial" w:cs="Arial"/>
          <w:sz w:val="20"/>
          <w:szCs w:val="20"/>
        </w:rPr>
        <w:t>Situace v měřítku min. 1:500</w:t>
      </w:r>
    </w:p>
    <w:p w:rsidR="003073A2" w:rsidRPr="007B09E4" w:rsidRDefault="003073A2" w:rsidP="003073A2">
      <w:pPr>
        <w:jc w:val="both"/>
        <w:rPr>
          <w:rFonts w:ascii="Arial" w:hAnsi="Arial" w:cs="Arial"/>
          <w:sz w:val="20"/>
          <w:szCs w:val="20"/>
        </w:rPr>
      </w:pPr>
      <w:r w:rsidRPr="007B09E4">
        <w:rPr>
          <w:rFonts w:ascii="Arial" w:hAnsi="Arial" w:cs="Arial"/>
          <w:sz w:val="20"/>
          <w:szCs w:val="20"/>
        </w:rPr>
        <w:t>Zásady organizace výstavby</w:t>
      </w:r>
    </w:p>
    <w:p w:rsidR="003073A2" w:rsidRPr="007B09E4" w:rsidRDefault="003073A2" w:rsidP="003073A2">
      <w:pPr>
        <w:jc w:val="both"/>
        <w:rPr>
          <w:rFonts w:ascii="Arial" w:hAnsi="Arial" w:cs="Arial"/>
          <w:sz w:val="20"/>
          <w:szCs w:val="20"/>
        </w:rPr>
      </w:pPr>
      <w:r w:rsidRPr="007B09E4">
        <w:rPr>
          <w:rFonts w:ascii="Arial" w:hAnsi="Arial" w:cs="Arial"/>
          <w:sz w:val="20"/>
          <w:szCs w:val="20"/>
        </w:rPr>
        <w:t>-      Definitivní dopravní značení včetně příslušných projednání</w:t>
      </w:r>
    </w:p>
    <w:p w:rsidR="003073A2" w:rsidRPr="007B09E4" w:rsidRDefault="003073A2" w:rsidP="003073A2">
      <w:pPr>
        <w:jc w:val="both"/>
        <w:rPr>
          <w:rFonts w:ascii="Arial" w:hAnsi="Arial" w:cs="Arial"/>
          <w:sz w:val="20"/>
          <w:szCs w:val="20"/>
        </w:rPr>
      </w:pPr>
      <w:r w:rsidRPr="007B09E4">
        <w:rPr>
          <w:rFonts w:ascii="Arial" w:hAnsi="Arial" w:cs="Arial"/>
          <w:sz w:val="20"/>
          <w:szCs w:val="20"/>
        </w:rPr>
        <w:t>Statický výpočet, hydrotechnický výpočet posouzení stoleté vody Q100</w:t>
      </w:r>
    </w:p>
    <w:p w:rsidR="003073A2" w:rsidRPr="007B09E4" w:rsidRDefault="003073A2" w:rsidP="003073A2">
      <w:pPr>
        <w:jc w:val="both"/>
        <w:rPr>
          <w:rFonts w:ascii="Arial" w:hAnsi="Arial" w:cs="Arial"/>
          <w:sz w:val="20"/>
          <w:szCs w:val="20"/>
        </w:rPr>
      </w:pPr>
      <w:r w:rsidRPr="007B09E4">
        <w:rPr>
          <w:rFonts w:ascii="Arial" w:hAnsi="Arial" w:cs="Arial"/>
          <w:sz w:val="20"/>
          <w:szCs w:val="20"/>
        </w:rPr>
        <w:t>Návrh kácení stromů včetně vyznačení v situaci, dendrologický průzkum (pokud bude pro zpracování PD a vydání příslušných stanovisek a povolení nutné), zajištění povolení ke kácení stromů je věcí zadavatele. V případě, že příslušný správní orgán povolí kácení dřevin dle PD, je nutné zjistit, zda se v dutinách stromů nenachází zvláště chráněné druhy živočichů – zejména netopýři, sovy či dřevokazní brouci (v tomto případě bude nutno zhotovitelem PD zažádat o výjimku z ochrany zvláště chráněných druhů na odboru životního prostředí Krajského úřadu Kraje Vysočina).</w:t>
      </w:r>
    </w:p>
    <w:p w:rsidR="003073A2" w:rsidRPr="007B09E4" w:rsidRDefault="003073A2" w:rsidP="003073A2">
      <w:pPr>
        <w:jc w:val="both"/>
        <w:rPr>
          <w:rFonts w:ascii="Arial" w:hAnsi="Arial" w:cs="Arial"/>
          <w:sz w:val="20"/>
          <w:szCs w:val="20"/>
        </w:rPr>
      </w:pPr>
      <w:r w:rsidRPr="007B09E4">
        <w:rPr>
          <w:rFonts w:ascii="Arial" w:hAnsi="Arial" w:cs="Arial"/>
          <w:sz w:val="20"/>
          <w:szCs w:val="20"/>
        </w:rPr>
        <w:t>Záborový elaborát s tabulkou dotčených pozemků pro dočasný a trvalý zábor a zákres do katastrální mapy včetně sousedních pozemků.</w:t>
      </w:r>
    </w:p>
    <w:p w:rsidR="003073A2" w:rsidRPr="007B09E4" w:rsidRDefault="003073A2" w:rsidP="003073A2">
      <w:pPr>
        <w:jc w:val="both"/>
        <w:rPr>
          <w:rFonts w:ascii="Arial" w:hAnsi="Arial" w:cs="Arial"/>
          <w:sz w:val="20"/>
          <w:szCs w:val="20"/>
        </w:rPr>
      </w:pPr>
      <w:r w:rsidRPr="007B09E4">
        <w:rPr>
          <w:rFonts w:ascii="Arial" w:hAnsi="Arial" w:cs="Arial"/>
          <w:sz w:val="20"/>
          <w:szCs w:val="20"/>
        </w:rPr>
        <w:t>Zajištění souhlasu s vynětím pozemků trvale dotčených stavbou silnice ze ZPF a PUPFL včetně zpracování Pedologického průzkumu</w:t>
      </w:r>
    </w:p>
    <w:p w:rsidR="003073A2" w:rsidRPr="007B09E4" w:rsidRDefault="003073A2" w:rsidP="003073A2">
      <w:pPr>
        <w:jc w:val="both"/>
        <w:rPr>
          <w:rFonts w:ascii="Arial" w:hAnsi="Arial" w:cs="Arial"/>
          <w:sz w:val="20"/>
          <w:szCs w:val="20"/>
        </w:rPr>
      </w:pPr>
      <w:r w:rsidRPr="007B09E4">
        <w:rPr>
          <w:rFonts w:ascii="Arial" w:hAnsi="Arial" w:cs="Arial"/>
          <w:sz w:val="20"/>
          <w:szCs w:val="20"/>
        </w:rPr>
        <w:t>Zajištění souhlasu s dočasným vynětím pozemků dočasného záboru ze ZPF</w:t>
      </w:r>
    </w:p>
    <w:p w:rsidR="003073A2" w:rsidRPr="007B09E4" w:rsidRDefault="003073A2" w:rsidP="003073A2">
      <w:pPr>
        <w:jc w:val="both"/>
        <w:rPr>
          <w:rFonts w:ascii="Arial" w:hAnsi="Arial" w:cs="Arial"/>
          <w:sz w:val="20"/>
          <w:szCs w:val="20"/>
        </w:rPr>
      </w:pPr>
      <w:r w:rsidRPr="007B09E4">
        <w:rPr>
          <w:rFonts w:ascii="Arial" w:hAnsi="Arial" w:cs="Arial"/>
          <w:sz w:val="20"/>
          <w:szCs w:val="20"/>
        </w:rPr>
        <w:t>Součinnost zhotovitele při jednáních s vlastníky dotčených pozemků</w:t>
      </w:r>
    </w:p>
    <w:p w:rsidR="003073A2" w:rsidRPr="007B09E4" w:rsidRDefault="003073A2" w:rsidP="003073A2">
      <w:pPr>
        <w:jc w:val="both"/>
        <w:rPr>
          <w:rFonts w:ascii="Arial" w:hAnsi="Arial" w:cs="Arial"/>
          <w:sz w:val="20"/>
          <w:szCs w:val="20"/>
        </w:rPr>
      </w:pPr>
      <w:r w:rsidRPr="007B09E4">
        <w:rPr>
          <w:rFonts w:ascii="Arial" w:hAnsi="Arial" w:cs="Arial"/>
          <w:sz w:val="20"/>
          <w:szCs w:val="20"/>
        </w:rPr>
        <w:t>Odhad stavebních nákladů</w:t>
      </w:r>
    </w:p>
    <w:p w:rsidR="003073A2" w:rsidRPr="007B09E4" w:rsidRDefault="003073A2" w:rsidP="003073A2">
      <w:pPr>
        <w:pStyle w:val="Odstavecseseznamem"/>
        <w:numPr>
          <w:ilvl w:val="0"/>
          <w:numId w:val="29"/>
        </w:numPr>
        <w:jc w:val="both"/>
        <w:rPr>
          <w:rFonts w:ascii="Arial" w:hAnsi="Arial" w:cs="Arial"/>
          <w:sz w:val="20"/>
          <w:szCs w:val="20"/>
        </w:rPr>
      </w:pPr>
      <w:r w:rsidRPr="007B09E4">
        <w:rPr>
          <w:rFonts w:ascii="Arial" w:hAnsi="Arial" w:cs="Arial"/>
          <w:sz w:val="20"/>
          <w:szCs w:val="20"/>
        </w:rPr>
        <w:t>Prověření průběhu inženýrských sítí, přeložky inženýrských sítí</w:t>
      </w:r>
    </w:p>
    <w:p w:rsidR="003073A2" w:rsidRPr="007B09E4" w:rsidRDefault="003073A2" w:rsidP="003073A2">
      <w:pPr>
        <w:pStyle w:val="Odstavecseseznamem"/>
        <w:numPr>
          <w:ilvl w:val="0"/>
          <w:numId w:val="29"/>
        </w:numPr>
        <w:jc w:val="both"/>
        <w:rPr>
          <w:rFonts w:ascii="Arial" w:hAnsi="Arial" w:cs="Arial"/>
          <w:sz w:val="20"/>
          <w:szCs w:val="20"/>
        </w:rPr>
      </w:pPr>
      <w:r w:rsidRPr="007B09E4">
        <w:rPr>
          <w:rFonts w:ascii="Arial" w:hAnsi="Arial" w:cs="Arial"/>
          <w:sz w:val="20"/>
          <w:szCs w:val="20"/>
        </w:rPr>
        <w:t>Vyřešení nakládání s odpady dle  Zákona č. 541/2020 Sb. a dle  Vyhlášky č. 283/2023 Sb. - Vyhláška o stanovení podmínek, při jejichž splnění jsou  znovuzískaná asfaltová směs a znovuzískaný penetrační makadam vedlejším produktem nebo přestávají být odpadem</w:t>
      </w:r>
    </w:p>
    <w:p w:rsidR="003073A2" w:rsidRPr="007B09E4" w:rsidRDefault="003073A2" w:rsidP="003073A2">
      <w:pPr>
        <w:pStyle w:val="Odstavecseseznamem"/>
        <w:numPr>
          <w:ilvl w:val="0"/>
          <w:numId w:val="29"/>
        </w:numPr>
        <w:jc w:val="both"/>
        <w:rPr>
          <w:rFonts w:ascii="Arial" w:hAnsi="Arial" w:cs="Arial"/>
          <w:sz w:val="20"/>
          <w:szCs w:val="20"/>
        </w:rPr>
      </w:pPr>
      <w:r w:rsidRPr="007B09E4">
        <w:rPr>
          <w:rFonts w:ascii="Arial" w:hAnsi="Arial" w:cs="Arial"/>
          <w:sz w:val="20"/>
          <w:szCs w:val="20"/>
        </w:rPr>
        <w:t xml:space="preserve">Zajištění projednání, potřebných kladných vyjádření a souhlasných stanovisek všech </w:t>
      </w:r>
    </w:p>
    <w:p w:rsidR="003073A2" w:rsidRPr="007B09E4" w:rsidRDefault="003073A2" w:rsidP="003073A2">
      <w:pPr>
        <w:pStyle w:val="Odstavecseseznamem"/>
        <w:numPr>
          <w:ilvl w:val="0"/>
          <w:numId w:val="29"/>
        </w:numPr>
        <w:jc w:val="both"/>
        <w:rPr>
          <w:rFonts w:ascii="Arial" w:hAnsi="Arial" w:cs="Arial"/>
          <w:sz w:val="20"/>
          <w:szCs w:val="20"/>
        </w:rPr>
      </w:pPr>
      <w:r w:rsidRPr="007B09E4">
        <w:rPr>
          <w:rFonts w:ascii="Arial" w:hAnsi="Arial" w:cs="Arial"/>
          <w:sz w:val="20"/>
          <w:szCs w:val="20"/>
        </w:rPr>
        <w:t xml:space="preserve">orgánů státní správy a samosprávy, organizací a správců dotčených inženýrských sítí pro </w:t>
      </w:r>
    </w:p>
    <w:p w:rsidR="003073A2" w:rsidRPr="007B09E4" w:rsidRDefault="003073A2" w:rsidP="003073A2">
      <w:pPr>
        <w:pStyle w:val="Odstavecseseznamem"/>
        <w:numPr>
          <w:ilvl w:val="0"/>
          <w:numId w:val="29"/>
        </w:numPr>
        <w:jc w:val="both"/>
        <w:rPr>
          <w:rFonts w:ascii="Arial" w:hAnsi="Arial" w:cs="Arial"/>
          <w:sz w:val="20"/>
          <w:szCs w:val="20"/>
        </w:rPr>
      </w:pPr>
      <w:r w:rsidRPr="007B09E4">
        <w:rPr>
          <w:rFonts w:ascii="Arial" w:hAnsi="Arial" w:cs="Arial"/>
          <w:sz w:val="20"/>
          <w:szCs w:val="20"/>
        </w:rPr>
        <w:t>vydání povolení záměru, vč. případného následného zapracování změn do projektové dokumentace</w:t>
      </w:r>
    </w:p>
    <w:p w:rsidR="003073A2" w:rsidRPr="007B09E4" w:rsidRDefault="003073A2" w:rsidP="003073A2">
      <w:pPr>
        <w:jc w:val="both"/>
        <w:rPr>
          <w:rFonts w:ascii="Arial" w:hAnsi="Arial" w:cs="Arial"/>
          <w:sz w:val="20"/>
          <w:szCs w:val="20"/>
        </w:rPr>
      </w:pPr>
      <w:r w:rsidRPr="007B09E4">
        <w:rPr>
          <w:rFonts w:ascii="Arial" w:hAnsi="Arial" w:cs="Arial"/>
          <w:sz w:val="20"/>
          <w:szCs w:val="20"/>
        </w:rPr>
        <w:t xml:space="preserve">Zpracování žádosti o vydání povolení záměru, včetně všech požadovaných příloh, vyjádření a stanovisek a podání řádné žádostí k příslušným stavebním úřadům dle jednotlivých stavebních objektů a příslušnosti k úřadu, který stavební objekty povoluje. </w:t>
      </w:r>
    </w:p>
    <w:p w:rsidR="003073A2" w:rsidRPr="007B09E4" w:rsidRDefault="003073A2" w:rsidP="003073A2">
      <w:pPr>
        <w:jc w:val="both"/>
        <w:rPr>
          <w:rFonts w:ascii="Arial" w:hAnsi="Arial" w:cs="Arial"/>
          <w:sz w:val="20"/>
          <w:szCs w:val="20"/>
        </w:rPr>
      </w:pPr>
      <w:r w:rsidRPr="007B09E4">
        <w:rPr>
          <w:rFonts w:ascii="Arial" w:hAnsi="Arial" w:cs="Arial"/>
          <w:sz w:val="20"/>
          <w:szCs w:val="20"/>
        </w:rPr>
        <w:t>Před podáním žádosti na příslušný stavební úřad, je zhotovitel povinen odsouhlasit si tuto žádost včetně všech příloh se zástupci objednatele.</w:t>
      </w:r>
    </w:p>
    <w:p w:rsidR="003073A2" w:rsidRPr="007B09E4" w:rsidRDefault="003073A2" w:rsidP="003073A2">
      <w:pPr>
        <w:jc w:val="both"/>
        <w:rPr>
          <w:rFonts w:ascii="Arial" w:hAnsi="Arial" w:cs="Arial"/>
          <w:sz w:val="20"/>
          <w:szCs w:val="20"/>
        </w:rPr>
      </w:pPr>
      <w:r w:rsidRPr="007B09E4">
        <w:rPr>
          <w:rFonts w:ascii="Arial" w:hAnsi="Arial" w:cs="Arial"/>
          <w:sz w:val="20"/>
          <w:szCs w:val="20"/>
        </w:rPr>
        <w:t xml:space="preserve">Podání žádosti o povolení záměru, zajištění vydání povolení stavby včetně potřebné inženýrské činnosti (např. dořešení změn PD v průběhu řízení o povolení záměru), získání doložky nabytí právní moci Povolení stavby </w:t>
      </w:r>
    </w:p>
    <w:p w:rsidR="003073A2" w:rsidRPr="007B09E4" w:rsidRDefault="003073A2" w:rsidP="003073A2">
      <w:pPr>
        <w:jc w:val="both"/>
        <w:rPr>
          <w:rFonts w:ascii="Arial" w:hAnsi="Arial" w:cs="Arial"/>
          <w:sz w:val="20"/>
          <w:szCs w:val="20"/>
        </w:rPr>
      </w:pPr>
      <w:r w:rsidRPr="007B09E4">
        <w:rPr>
          <w:rFonts w:ascii="Arial" w:hAnsi="Arial" w:cs="Arial"/>
          <w:sz w:val="20"/>
          <w:szCs w:val="20"/>
        </w:rPr>
        <w:t>Po vydání Pravomocného povolení záměru bude předáno objednateli: 1 x originál každého povolení záměru (PZ) v písemné podobě s vyznačením nabytí právní moci + projektová dokumentace pro povolení stavebního záměru ověřená stavebním úřadem.</w:t>
      </w:r>
    </w:p>
    <w:p w:rsidR="003073A2" w:rsidRPr="007B09E4" w:rsidRDefault="003073A2" w:rsidP="003073A2">
      <w:pPr>
        <w:jc w:val="both"/>
        <w:rPr>
          <w:rFonts w:ascii="Arial" w:hAnsi="Arial" w:cs="Arial"/>
          <w:sz w:val="20"/>
          <w:szCs w:val="20"/>
        </w:rPr>
      </w:pPr>
      <w:r w:rsidRPr="007B09E4">
        <w:rPr>
          <w:rFonts w:ascii="Arial" w:hAnsi="Arial" w:cs="Arial"/>
          <w:sz w:val="20"/>
          <w:szCs w:val="20"/>
        </w:rPr>
        <w:lastRenderedPageBreak/>
        <w:t>Majetkoprávní příprava, včetně zajištění příslušných smluv není součástí předmětu plnění a bude realizována zadavatelem. Zhotovitel zajistí pouze souhlasy dotčených vlastníků pozemků na situační výkres stavby v souladu s §184 a §187, odst.2, písm.c) zákona 283/2021 Sb, Stavební zákon, v platném znění, s účinností od 1. 1. 2024. Zhotovitel je však dále povinen spolupracovat se zadavatelem při jednání s vlastníky, tj. písemně informovat vlastníky dotčených pozemků o záměru realizovat stavbu, odpovídat na případné otázky vlastníků dotčených pozemků týkajících se technických záležitostí stavby a svolat výrobní výbor za účasti vlastníků dotčených pozemků, zástupců zadavatele a zástupců obcí,  v jejímž katastru se bude záměr realizovat.</w:t>
      </w:r>
    </w:p>
    <w:p w:rsidR="003073A2" w:rsidRPr="007B09E4" w:rsidRDefault="003073A2" w:rsidP="003073A2">
      <w:pPr>
        <w:jc w:val="both"/>
        <w:rPr>
          <w:rFonts w:ascii="Arial" w:hAnsi="Arial" w:cs="Arial"/>
          <w:sz w:val="20"/>
          <w:szCs w:val="20"/>
        </w:rPr>
      </w:pPr>
      <w:r w:rsidRPr="007B09E4">
        <w:rPr>
          <w:rFonts w:ascii="Arial" w:hAnsi="Arial" w:cs="Arial"/>
          <w:sz w:val="20"/>
          <w:szCs w:val="20"/>
        </w:rPr>
        <w:t>Dokumentace bude projednána na výrobních výborech (minimálně 2x) za účasti všech orgánů, organizací a vlastníků pozemků, dotčených touto stavbou. Před dokončením a odevzdáním každého stupně projektové dokumentace budou svolány tzv. technicko-dokumentační komise (TDK) za účasti všech orgánů, organizací a vlastníků pozemků, dotčených touto stavbou. Zadavateli bude zhotovitelem v dostatečném předstihu (7 dní) zaslána projektová dokumentace jako podklad pro TDK. Výrobní výbory a TDK svolává a zápis vyhotovuje zhotovitel projektové dokumentace.</w:t>
      </w:r>
    </w:p>
    <w:p w:rsidR="003073A2" w:rsidRPr="007B09E4" w:rsidRDefault="003073A2" w:rsidP="003073A2">
      <w:pPr>
        <w:overflowPunct w:val="0"/>
        <w:autoSpaceDE w:val="0"/>
        <w:autoSpaceDN w:val="0"/>
        <w:adjustRightInd w:val="0"/>
        <w:spacing w:after="120"/>
        <w:jc w:val="both"/>
        <w:textAlignment w:val="baseline"/>
        <w:rPr>
          <w:rFonts w:ascii="Arial" w:hAnsi="Arial" w:cs="Arial"/>
          <w:b/>
          <w:sz w:val="20"/>
          <w:szCs w:val="20"/>
        </w:rPr>
      </w:pPr>
      <w:r w:rsidRPr="007B09E4">
        <w:rPr>
          <w:rFonts w:ascii="Arial" w:hAnsi="Arial" w:cs="Arial"/>
          <w:b/>
          <w:sz w:val="20"/>
          <w:szCs w:val="20"/>
        </w:rPr>
        <w:t>Po definitivním odsouhlasení zadavatelem bude následně projektová dokumentace ve stupni pro vydání povolení stavebního záměru předána zadavateli v tištěné podobě a na CD (v plném rozsahu tištěné podoby) v následujícím počtu:</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 xml:space="preserve">3x v tištěné podobě, vč. dokladové části ve všech paré, 1x v digitální ve formátu *.dwg a *.pdf </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Záborový elaborát – 2x v tištěné podobě, 1x v digitální ve formátu *.pdf nebo *.xls</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Geodetické zaměření – 1x v digitální ve formátu *.dwg a *.pdf a vytyčovací síť vytyčovaných bodů ve formátu *.doc, *.xls nebo *.txt</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Odhad stavebních nákladů – 1x v digitální ve formátu *.pdf nebo *.xls</w:t>
      </w:r>
    </w:p>
    <w:p w:rsidR="003073A2" w:rsidRPr="007B09E4" w:rsidRDefault="003073A2" w:rsidP="003073A2">
      <w:pPr>
        <w:overflowPunct w:val="0"/>
        <w:autoSpaceDE w:val="0"/>
        <w:autoSpaceDN w:val="0"/>
        <w:adjustRightInd w:val="0"/>
        <w:spacing w:after="120"/>
        <w:jc w:val="both"/>
        <w:textAlignment w:val="baseline"/>
        <w:rPr>
          <w:rFonts w:ascii="Arial" w:hAnsi="Arial" w:cs="Arial"/>
          <w:b/>
          <w:sz w:val="20"/>
          <w:szCs w:val="20"/>
          <w:u w:val="single"/>
        </w:rPr>
      </w:pPr>
      <w:r w:rsidRPr="007B09E4">
        <w:rPr>
          <w:rFonts w:ascii="Arial" w:hAnsi="Arial" w:cs="Arial"/>
          <w:b/>
          <w:sz w:val="20"/>
          <w:szCs w:val="20"/>
          <w:u w:val="single"/>
        </w:rPr>
        <w:t>Vypracování dokumentace pro provádění stavby</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 xml:space="preserve">Rozsah a obsah dokumentace je stanoven Směrnicí pro dokumentaci staveb pozemních komunikací, schválené Ministerstvem dopravy, Odborem pozemních komunikací, č. j. MD-45948/2025-940/2, v srpnu 2025, s účinností od 15. 8. 2025 se současným zrušením Směrnice pro dokumentaci staveb PK schválené Ministerstvem dopravy, Odborem liniových staveb a silničního správního úřadu č. j. MD-23142/2022-930/2, ze dne 12. 7. 2022, s výjimkou kapitol souvisejících s aplikací přechodných ustanovení zákona č. 283/2021 Sb., jejichž účinnost končí ke dni 30. 6. 2027,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vyhláškou č. 227/2024 Sb. - o rozsahu a obsahu projektové dokumentace staveb dopravní infrastruktury,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stavebních demoličních materiálů do pozemních komunikací,  schválené Ministerstvem dopravy, Odborem liniových staveb a silničního správního úřadu pod č. j. MD-43101/2023-930/2 ze dne 19. 12. 2023 s účinností od 1. 1. 2024 z 12/2023, a Technické kvalitativní podmínky staveb pozemních komunikací, Kapitola 1 Všeobecně, Změna č. 2,  schváleno Ministerstvem dopravy, Odborem pozemních komunikací pod č. j. MD-45948/2025-940/3 v srpnu 2025 s účinností od 15. 8. 2025, Zákon č. 318/2025 </w:t>
      </w:r>
      <w:proofErr w:type="gramStart"/>
      <w:r w:rsidRPr="007B09E4">
        <w:rPr>
          <w:rFonts w:ascii="Arial" w:hAnsi="Arial" w:cs="Arial"/>
          <w:sz w:val="20"/>
          <w:szCs w:val="20"/>
        </w:rPr>
        <w:t>Sb.Zákon</w:t>
      </w:r>
      <w:proofErr w:type="gramEnd"/>
      <w:r w:rsidRPr="007B09E4">
        <w:rPr>
          <w:rFonts w:ascii="Arial" w:hAnsi="Arial" w:cs="Arial"/>
          <w:sz w:val="20"/>
          <w:szCs w:val="20"/>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Nařízení vlády č. 319/2025 Sb.Nařízení vlády, kterým se mění nařízení vlády č. 591/2006 Sb., o bližších minimálních požadavcích na bezpečnost a ochranu zdraví </w:t>
      </w:r>
      <w:r w:rsidRPr="007B09E4">
        <w:rPr>
          <w:rFonts w:ascii="Arial" w:hAnsi="Arial" w:cs="Arial"/>
          <w:sz w:val="20"/>
          <w:szCs w:val="20"/>
        </w:rPr>
        <w:lastRenderedPageBreak/>
        <w:t>při práci na staveništích, ve znění nařízení vlády č. 136/2016 Sb., vše v platném znění a bude obsahovat :</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Návrh rekonstrukce stávajícího mostního objektu bude v souladu se zpracovanou dokumentací pro povolení záměru. Součástí dokumentace bude řešení případných přeložek inženýrských sítí a úprava navazující trasy konstrukce silnice v daném rozsahu.</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Vytyčovací výkres stavby</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Definitivní dopravní značení včetně příslušných projednání</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Katastrální a koordinační situace</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Zásady organizace výstavby</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 xml:space="preserve">Výkaz výměr s bilancí zemních prací  </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 xml:space="preserve">Dopravně inženýrská opatření (DIO) po dobu provádění stavebních prací, návrh </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 xml:space="preserve">objízdných tras, svislé dopravní značení pro dopravní opatření (zřízení a odstranění) bude </w:t>
      </w:r>
    </w:p>
    <w:p w:rsidR="003073A2" w:rsidRPr="007B09E4" w:rsidRDefault="007B09E4"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 xml:space="preserve"> </w:t>
      </w:r>
      <w:r w:rsidR="003073A2" w:rsidRPr="007B09E4">
        <w:rPr>
          <w:rFonts w:ascii="Arial" w:hAnsi="Arial" w:cs="Arial"/>
          <w:sz w:val="20"/>
          <w:szCs w:val="20"/>
        </w:rPr>
        <w:t xml:space="preserve">navrženo dle TP 66 Zásady pro označování pracovních míst na pozemních komunikacích pro provizorní </w:t>
      </w:r>
      <w:r w:rsidR="00AB7DC2">
        <w:rPr>
          <w:rFonts w:ascii="Arial" w:hAnsi="Arial" w:cs="Arial"/>
          <w:sz w:val="20"/>
          <w:szCs w:val="20"/>
        </w:rPr>
        <w:t xml:space="preserve">dopravní značení, </w:t>
      </w:r>
      <w:r w:rsidR="003073A2" w:rsidRPr="007B09E4">
        <w:rPr>
          <w:rFonts w:ascii="Arial" w:hAnsi="Arial" w:cs="Arial"/>
          <w:sz w:val="20"/>
          <w:szCs w:val="20"/>
        </w:rPr>
        <w:t>schválených Ministerstvem dopravy čj. 21/2015-120-TN/1 ze dne 12. března 2015 s účinností od 1. dubna 2015</w:t>
      </w:r>
    </w:p>
    <w:p w:rsidR="003073A2" w:rsidRPr="007B09E4" w:rsidRDefault="007B09E4"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w:t>
      </w:r>
      <w:r w:rsidR="003073A2" w:rsidRPr="007B09E4">
        <w:rPr>
          <w:rFonts w:ascii="Arial" w:hAnsi="Arial" w:cs="Arial"/>
          <w:sz w:val="20"/>
          <w:szCs w:val="20"/>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odst.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v souladu se Zákonem č. 318/2025 Sb.</w:t>
      </w:r>
      <w:r w:rsidR="00AB7DC2">
        <w:rPr>
          <w:rFonts w:ascii="Arial" w:hAnsi="Arial" w:cs="Arial"/>
          <w:sz w:val="20"/>
          <w:szCs w:val="20"/>
        </w:rPr>
        <w:t xml:space="preserve"> </w:t>
      </w:r>
      <w:r w:rsidR="003073A2" w:rsidRPr="007B09E4">
        <w:rPr>
          <w:rFonts w:ascii="Arial" w:hAnsi="Arial" w:cs="Arial"/>
          <w:sz w:val="20"/>
          <w:szCs w:val="20"/>
        </w:rPr>
        <w:t>Zákon,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319/2025 Sb., Nařízením vlády, kterým se mění nařízení vlády č. 591/2006 Sb., o bližších minimálních požadavcích na bezpečnost a ochranu zdraví při práci na staveništích, ve znění nařízení vlády č. 136/2016 Sb., a další související zákony.</w:t>
      </w:r>
    </w:p>
    <w:p w:rsidR="003073A2" w:rsidRPr="007B09E4" w:rsidRDefault="003073A2" w:rsidP="007B09E4">
      <w:pPr>
        <w:overflowPunct w:val="0"/>
        <w:autoSpaceDE w:val="0"/>
        <w:autoSpaceDN w:val="0"/>
        <w:adjustRightInd w:val="0"/>
        <w:spacing w:after="120"/>
        <w:ind w:left="142"/>
        <w:jc w:val="both"/>
        <w:textAlignment w:val="baseline"/>
        <w:rPr>
          <w:rFonts w:ascii="Arial" w:hAnsi="Arial" w:cs="Arial"/>
          <w:sz w:val="20"/>
          <w:szCs w:val="20"/>
        </w:rPr>
      </w:pPr>
      <w:r w:rsidRPr="007B09E4">
        <w:rPr>
          <w:rFonts w:ascii="Arial" w:hAnsi="Arial" w:cs="Arial"/>
          <w:sz w:val="20"/>
          <w:szCs w:val="20"/>
        </w:rPr>
        <w:t>-      Havarijní a povodňový plán</w:t>
      </w:r>
    </w:p>
    <w:p w:rsidR="003073A2" w:rsidRPr="007B09E4" w:rsidRDefault="003073A2" w:rsidP="007B09E4">
      <w:pPr>
        <w:overflowPunct w:val="0"/>
        <w:autoSpaceDE w:val="0"/>
        <w:autoSpaceDN w:val="0"/>
        <w:adjustRightInd w:val="0"/>
        <w:spacing w:after="120"/>
        <w:ind w:left="142"/>
        <w:jc w:val="both"/>
        <w:textAlignment w:val="baseline"/>
        <w:rPr>
          <w:rFonts w:ascii="Arial" w:hAnsi="Arial" w:cs="Arial"/>
          <w:sz w:val="20"/>
          <w:szCs w:val="20"/>
        </w:rPr>
      </w:pPr>
      <w:r w:rsidRPr="007B09E4">
        <w:rPr>
          <w:rFonts w:ascii="Arial" w:hAnsi="Arial" w:cs="Arial"/>
          <w:sz w:val="20"/>
          <w:szCs w:val="20"/>
        </w:rPr>
        <w:t xml:space="preserve">-      Neoceněný soupis prací, oceněný soupis prací (kontrolní rozpočet pro potřeby </w:t>
      </w:r>
    </w:p>
    <w:p w:rsidR="003073A2" w:rsidRPr="007B09E4" w:rsidRDefault="003073A2" w:rsidP="007B09E4">
      <w:pPr>
        <w:overflowPunct w:val="0"/>
        <w:autoSpaceDE w:val="0"/>
        <w:autoSpaceDN w:val="0"/>
        <w:adjustRightInd w:val="0"/>
        <w:spacing w:after="120"/>
        <w:ind w:left="142"/>
        <w:jc w:val="both"/>
        <w:textAlignment w:val="baseline"/>
        <w:rPr>
          <w:rFonts w:ascii="Arial" w:hAnsi="Arial" w:cs="Arial"/>
          <w:sz w:val="20"/>
          <w:szCs w:val="20"/>
        </w:rPr>
      </w:pPr>
      <w:r w:rsidRPr="007B09E4">
        <w:rPr>
          <w:rFonts w:ascii="Arial" w:hAnsi="Arial" w:cs="Arial"/>
          <w:sz w:val="20"/>
          <w:szCs w:val="20"/>
        </w:rPr>
        <w:t xml:space="preserve">       zadavatele), soupis prací bude zpracován v rozpočtovém programu Aspe (v oborovém </w:t>
      </w:r>
    </w:p>
    <w:p w:rsidR="003073A2" w:rsidRPr="007B09E4" w:rsidRDefault="003073A2" w:rsidP="007B09E4">
      <w:pPr>
        <w:overflowPunct w:val="0"/>
        <w:autoSpaceDE w:val="0"/>
        <w:autoSpaceDN w:val="0"/>
        <w:adjustRightInd w:val="0"/>
        <w:spacing w:after="120"/>
        <w:ind w:left="142"/>
        <w:jc w:val="both"/>
        <w:textAlignment w:val="baseline"/>
        <w:rPr>
          <w:rFonts w:ascii="Arial" w:hAnsi="Arial" w:cs="Arial"/>
          <w:sz w:val="20"/>
          <w:szCs w:val="20"/>
        </w:rPr>
      </w:pPr>
      <w:r w:rsidRPr="007B09E4">
        <w:rPr>
          <w:rFonts w:ascii="Arial" w:hAnsi="Arial" w:cs="Arial"/>
          <w:sz w:val="20"/>
          <w:szCs w:val="20"/>
        </w:rPr>
        <w:t xml:space="preserve">       třídníku stavebních konstrukcí OTSKP) v souladu s vyhláškou č. 405/2017 Sb., kterou se </w:t>
      </w:r>
    </w:p>
    <w:p w:rsidR="003073A2" w:rsidRPr="007B09E4" w:rsidRDefault="003073A2" w:rsidP="007B09E4">
      <w:pPr>
        <w:overflowPunct w:val="0"/>
        <w:autoSpaceDE w:val="0"/>
        <w:autoSpaceDN w:val="0"/>
        <w:adjustRightInd w:val="0"/>
        <w:spacing w:after="120"/>
        <w:ind w:left="142"/>
        <w:jc w:val="both"/>
        <w:textAlignment w:val="baseline"/>
        <w:rPr>
          <w:rFonts w:ascii="Arial" w:hAnsi="Arial" w:cs="Arial"/>
          <w:sz w:val="20"/>
          <w:szCs w:val="20"/>
        </w:rPr>
      </w:pPr>
      <w:r w:rsidRPr="007B09E4">
        <w:rPr>
          <w:rFonts w:ascii="Arial" w:hAnsi="Arial" w:cs="Arial"/>
          <w:sz w:val="20"/>
          <w:szCs w:val="20"/>
        </w:rPr>
        <w:t xml:space="preserve">       mění vyhláška č. 499/2006 Sb., o dokumentaci staveb, ve znění vyhlášky č. 62/2013 Sb., </w:t>
      </w:r>
    </w:p>
    <w:p w:rsidR="003073A2" w:rsidRPr="007B09E4" w:rsidRDefault="003073A2" w:rsidP="007B09E4">
      <w:pPr>
        <w:overflowPunct w:val="0"/>
        <w:autoSpaceDE w:val="0"/>
        <w:autoSpaceDN w:val="0"/>
        <w:adjustRightInd w:val="0"/>
        <w:spacing w:after="120"/>
        <w:ind w:left="142"/>
        <w:jc w:val="both"/>
        <w:textAlignment w:val="baseline"/>
        <w:rPr>
          <w:rFonts w:ascii="Arial" w:hAnsi="Arial" w:cs="Arial"/>
          <w:sz w:val="20"/>
          <w:szCs w:val="20"/>
        </w:rPr>
      </w:pPr>
      <w:r w:rsidRPr="007B09E4">
        <w:rPr>
          <w:rFonts w:ascii="Arial" w:hAnsi="Arial" w:cs="Arial"/>
          <w:sz w:val="20"/>
          <w:szCs w:val="20"/>
        </w:rPr>
        <w:t xml:space="preserve">       a s Vyhláškou č. 169/2016 Sb., o stanovení rozsahu dokumentace veřejné zakázky na </w:t>
      </w:r>
    </w:p>
    <w:p w:rsidR="003073A2" w:rsidRPr="007B09E4" w:rsidRDefault="003073A2" w:rsidP="007B09E4">
      <w:pPr>
        <w:overflowPunct w:val="0"/>
        <w:autoSpaceDE w:val="0"/>
        <w:autoSpaceDN w:val="0"/>
        <w:adjustRightInd w:val="0"/>
        <w:spacing w:after="120"/>
        <w:ind w:left="142"/>
        <w:jc w:val="both"/>
        <w:textAlignment w:val="baseline"/>
        <w:rPr>
          <w:rFonts w:ascii="Arial" w:hAnsi="Arial" w:cs="Arial"/>
          <w:sz w:val="20"/>
          <w:szCs w:val="20"/>
        </w:rPr>
      </w:pPr>
      <w:r w:rsidRPr="007B09E4">
        <w:rPr>
          <w:rFonts w:ascii="Arial" w:hAnsi="Arial" w:cs="Arial"/>
          <w:sz w:val="20"/>
          <w:szCs w:val="20"/>
        </w:rPr>
        <w:t xml:space="preserve">       stavební práce a soupisu stavebních prací, dodávek a služeb s výkazem výměr.</w:t>
      </w:r>
    </w:p>
    <w:p w:rsidR="003073A2" w:rsidRPr="007B09E4" w:rsidRDefault="003073A2" w:rsidP="007B09E4">
      <w:pPr>
        <w:overflowPunct w:val="0"/>
        <w:autoSpaceDE w:val="0"/>
        <w:autoSpaceDN w:val="0"/>
        <w:adjustRightInd w:val="0"/>
        <w:spacing w:after="120"/>
        <w:ind w:left="142"/>
        <w:jc w:val="both"/>
        <w:textAlignment w:val="baseline"/>
        <w:rPr>
          <w:rFonts w:ascii="Arial" w:hAnsi="Arial" w:cs="Arial"/>
          <w:sz w:val="20"/>
          <w:szCs w:val="20"/>
        </w:rPr>
      </w:pPr>
    </w:p>
    <w:p w:rsidR="003073A2" w:rsidRPr="007B09E4" w:rsidRDefault="003073A2" w:rsidP="003073A2">
      <w:pPr>
        <w:overflowPunct w:val="0"/>
        <w:autoSpaceDE w:val="0"/>
        <w:autoSpaceDN w:val="0"/>
        <w:adjustRightInd w:val="0"/>
        <w:spacing w:after="120"/>
        <w:jc w:val="both"/>
        <w:textAlignment w:val="baseline"/>
        <w:rPr>
          <w:rFonts w:ascii="Arial" w:hAnsi="Arial" w:cs="Arial"/>
          <w:sz w:val="20"/>
          <w:szCs w:val="20"/>
        </w:rPr>
      </w:pPr>
      <w:r w:rsidRPr="007B09E4">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3073A2" w:rsidRPr="007B09E4" w:rsidRDefault="003073A2" w:rsidP="003073A2">
      <w:pPr>
        <w:overflowPunct w:val="0"/>
        <w:autoSpaceDE w:val="0"/>
        <w:autoSpaceDN w:val="0"/>
        <w:adjustRightInd w:val="0"/>
        <w:spacing w:after="120" w:line="240" w:lineRule="auto"/>
        <w:jc w:val="both"/>
        <w:textAlignment w:val="baseline"/>
        <w:rPr>
          <w:rFonts w:ascii="Arial" w:hAnsi="Arial" w:cs="Arial"/>
          <w:b/>
          <w:sz w:val="20"/>
          <w:szCs w:val="20"/>
        </w:rPr>
      </w:pPr>
      <w:r w:rsidRPr="007B09E4">
        <w:rPr>
          <w:rFonts w:ascii="Arial" w:hAnsi="Arial" w:cs="Arial"/>
          <w:b/>
          <w:sz w:val="20"/>
          <w:szCs w:val="20"/>
        </w:rPr>
        <w:t>Po definitivním odsouhlasení objednatelem bude následně projektová dokumentace pro provádění stavby předána objednateli v tištěné podobě a na CD (v plném rozsahu tištěné podoby) v následujícím počtu:</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 xml:space="preserve">3x v tištěné podobě, 1x v digitální ve formátu *.dwg a *.pdf </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t>Oceněný soupis prací – 1x v digitální ve formátu *.xls(x), *.pdf a *.xml (exportní soubor z Esticonu v datovém předpisu XC4)</w:t>
      </w:r>
    </w:p>
    <w:p w:rsidR="003073A2" w:rsidRPr="007B09E4" w:rsidRDefault="003073A2" w:rsidP="003073A2">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B09E4">
        <w:rPr>
          <w:rFonts w:ascii="Arial" w:hAnsi="Arial" w:cs="Arial"/>
          <w:sz w:val="20"/>
          <w:szCs w:val="20"/>
        </w:rPr>
        <w:lastRenderedPageBreak/>
        <w:t>Neoceněný soupis prací – 1x v digitální ve formátu *.xls(x), *.pdf a *.xml (exportní soubor z Esticonu v datovém předpisu XC4)</w:t>
      </w:r>
    </w:p>
    <w:p w:rsidR="003073A2" w:rsidRPr="007B09E4" w:rsidRDefault="003073A2" w:rsidP="003073A2">
      <w:pPr>
        <w:overflowPunct w:val="0"/>
        <w:autoSpaceDE w:val="0"/>
        <w:autoSpaceDN w:val="0"/>
        <w:adjustRightInd w:val="0"/>
        <w:spacing w:after="120" w:line="240" w:lineRule="auto"/>
        <w:jc w:val="both"/>
        <w:textAlignment w:val="baseline"/>
        <w:rPr>
          <w:rFonts w:ascii="Arial" w:hAnsi="Arial" w:cs="Arial"/>
          <w:sz w:val="20"/>
          <w:szCs w:val="20"/>
        </w:rPr>
      </w:pPr>
      <w:r w:rsidRPr="007B09E4">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3073A2" w:rsidRPr="007B09E4" w:rsidRDefault="003073A2" w:rsidP="003073A2">
      <w:pPr>
        <w:overflowPunct w:val="0"/>
        <w:autoSpaceDE w:val="0"/>
        <w:autoSpaceDN w:val="0"/>
        <w:adjustRightInd w:val="0"/>
        <w:spacing w:after="120" w:line="240" w:lineRule="auto"/>
        <w:jc w:val="both"/>
        <w:textAlignment w:val="baseline"/>
        <w:rPr>
          <w:rFonts w:ascii="Arial" w:hAnsi="Arial" w:cs="Arial"/>
          <w:sz w:val="20"/>
          <w:szCs w:val="20"/>
        </w:rPr>
      </w:pPr>
      <w:r w:rsidRPr="007B09E4">
        <w:rPr>
          <w:rFonts w:ascii="Arial" w:hAnsi="Arial" w:cs="Arial"/>
          <w:sz w:val="20"/>
          <w:szCs w:val="20"/>
        </w:rPr>
        <w:t xml:space="preserve">Digitální podoba projektové dokumentace bude předána na nosiči CD v plném rozsahu tištěné podoby. </w:t>
      </w:r>
    </w:p>
    <w:p w:rsidR="003073A2" w:rsidRPr="007B09E4" w:rsidRDefault="003073A2" w:rsidP="003073A2">
      <w:pPr>
        <w:overflowPunct w:val="0"/>
        <w:autoSpaceDE w:val="0"/>
        <w:autoSpaceDN w:val="0"/>
        <w:adjustRightInd w:val="0"/>
        <w:spacing w:after="120" w:line="240" w:lineRule="auto"/>
        <w:jc w:val="both"/>
        <w:textAlignment w:val="baseline"/>
        <w:rPr>
          <w:rFonts w:ascii="Arial" w:hAnsi="Arial" w:cs="Arial"/>
          <w:sz w:val="20"/>
          <w:szCs w:val="20"/>
        </w:rPr>
      </w:pPr>
      <w:r w:rsidRPr="007B09E4">
        <w:rPr>
          <w:rFonts w:ascii="Arial" w:hAnsi="Arial" w:cs="Arial"/>
          <w:sz w:val="20"/>
          <w:szCs w:val="20"/>
        </w:rPr>
        <w:t xml:space="preserve">Při převzetí této dokumentace bude disk zkontrolován na odkazu </w:t>
      </w:r>
      <w:hyperlink r:id="rId8" w:history="1">
        <w:r w:rsidRPr="007B09E4">
          <w:rPr>
            <w:rFonts w:ascii="Arial" w:hAnsi="Arial" w:cs="Arial"/>
            <w:sz w:val="20"/>
            <w:szCs w:val="20"/>
          </w:rPr>
          <w:t>Datový předpis XC4</w:t>
        </w:r>
      </w:hyperlink>
      <w:r w:rsidRPr="007B09E4">
        <w:rPr>
          <w:rFonts w:ascii="Arial" w:hAnsi="Arial" w:cs="Arial"/>
          <w:sz w:val="20"/>
          <w:szCs w:val="20"/>
        </w:rPr>
        <w:t xml:space="preserve"> : výsledek kontroly musí být vždy „Soubor odpovídá schématu XC4 – SP“. </w:t>
      </w:r>
    </w:p>
    <w:p w:rsidR="003073A2" w:rsidRPr="007B09E4" w:rsidRDefault="003073A2" w:rsidP="003073A2">
      <w:pPr>
        <w:rPr>
          <w:rFonts w:ascii="Arial" w:hAnsi="Arial" w:cs="Arial"/>
          <w:b/>
          <w:sz w:val="20"/>
          <w:szCs w:val="20"/>
          <w:u w:val="single"/>
        </w:rPr>
      </w:pPr>
      <w:r w:rsidRPr="007B09E4">
        <w:rPr>
          <w:rFonts w:ascii="Arial" w:hAnsi="Arial" w:cs="Arial"/>
          <w:b/>
          <w:sz w:val="20"/>
          <w:szCs w:val="20"/>
          <w:u w:val="single"/>
        </w:rPr>
        <w:t>Výkon dozoru projektanta</w:t>
      </w:r>
    </w:p>
    <w:p w:rsidR="003073A2" w:rsidRPr="007B09E4" w:rsidRDefault="003073A2" w:rsidP="003073A2">
      <w:pPr>
        <w:pStyle w:val="Zkladntextodsazen21"/>
        <w:spacing w:after="240" w:line="276" w:lineRule="auto"/>
        <w:ind w:left="0" w:firstLine="0"/>
        <w:rPr>
          <w:rFonts w:ascii="Arial" w:eastAsia="Calibri" w:hAnsi="Arial" w:cs="Arial"/>
          <w:sz w:val="20"/>
          <w:lang w:eastAsia="en-US"/>
        </w:rPr>
      </w:pPr>
      <w:r w:rsidRPr="007B09E4">
        <w:rPr>
          <w:rFonts w:ascii="Arial" w:eastAsia="Calibri" w:hAnsi="Arial" w:cs="Arial"/>
          <w:sz w:val="20"/>
          <w:lang w:eastAsia="en-US"/>
        </w:rPr>
        <w:t xml:space="preserve">Výkonem dozoru projektanta se rozumí uskutečnění činností předpokládaných obecně závaznými právními předpisy a vyžadovaných objektivní stavebně-technickou situací, jakožto součinnost autora při realizaci stavby podle zpracovaného projektu. V rámci výkonu dozoru projektanta je zhotovitel povinen zejména provádět pravidelnou kontrolu postupu realizace podle zpracovaného projektu, podávat vysvětlení a pokyny pro realizaci stavby. V případě potřeby provést přepracování nebo doplnění projektové dokumentace. </w:t>
      </w:r>
    </w:p>
    <w:p w:rsidR="003073A2" w:rsidRPr="007B09E4" w:rsidRDefault="003073A2" w:rsidP="003073A2">
      <w:pPr>
        <w:pStyle w:val="Zkladntextodsazen21"/>
        <w:spacing w:after="240" w:line="276" w:lineRule="auto"/>
        <w:ind w:left="0" w:firstLine="0"/>
        <w:rPr>
          <w:rFonts w:ascii="Arial" w:eastAsia="Calibri" w:hAnsi="Arial" w:cs="Arial"/>
          <w:sz w:val="20"/>
          <w:lang w:eastAsia="en-US"/>
        </w:rPr>
      </w:pPr>
      <w:r w:rsidRPr="007B09E4">
        <w:rPr>
          <w:rFonts w:ascii="Arial" w:eastAsia="Calibri" w:hAnsi="Arial" w:cs="Arial"/>
          <w:sz w:val="20"/>
          <w:lang w:eastAsia="en-US"/>
        </w:rPr>
        <w:t>Zhotovitel je povinen při plnění dozoru projektanta poskytnout svoji součinnost vždy bezodkladně poté, kdy bude k tomu zadavatelem vyzván nebo poté, kdy takovou potřebu sám zjistí.</w:t>
      </w:r>
    </w:p>
    <w:p w:rsidR="003073A2" w:rsidRPr="007B09E4" w:rsidRDefault="003073A2" w:rsidP="003073A2">
      <w:pPr>
        <w:rPr>
          <w:rFonts w:ascii="Arial" w:hAnsi="Arial" w:cs="Arial"/>
          <w:b/>
          <w:sz w:val="20"/>
          <w:szCs w:val="20"/>
        </w:rPr>
      </w:pPr>
      <w:r w:rsidRPr="007B09E4">
        <w:rPr>
          <w:rFonts w:ascii="Arial" w:hAnsi="Arial" w:cs="Arial"/>
          <w:b/>
          <w:sz w:val="20"/>
          <w:szCs w:val="20"/>
        </w:rPr>
        <w:t>Předmětem výkonu dozoru projektanta je především:</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účastnit se předání staveniště zhotoviteli</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dohled nad realizací díla</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kontrola dodržování projektové dokumentace s přihlédnutím na podmínky určené povolením stavby, souhlasem stavebního úřadu, případně nařízením nezbytných stavebních úprav</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posuzování postupu výstavby z technického hlediska a z hlediska časového plánu výstavby</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sledování a kontrola technických a kvalitativních parametrů stavby</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v případě nutnosti zpracování změny záměru před dokončením dle § 224 stavebního zákona v platném znění, která je součástí výkonu dozoru projektanta jako autora díla, neprodleně po tomto zjištění zahájit projekční práce včetně zajištění všech příslušných vyjádření a dokladů nezbytných k podání žádosti dle § 184 Stavebního zákona v platném znění  a dále podání žádosti včetně všech příloh na příslušný stavební úřad. Před podáním žádostí na příslušný stavební úřad je zhotovitel povinen odsouhlasit si tyto žádosti včetně všech příloh se zástupci objednatele</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řešit drobné odchylky od projektu, které nebudou vyžadovat zpracování nového projektu případně jeho části nebo dodatku projektové dokumentace</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posuzovat návrhy zadavatele stavby na změny a odchylky v částech projektů zpracovávaných v rámci realizační dokumentace z pohledu dodržení technicko-ekonomických parametrů, dodržení lhůt výstavby, případně dalších údajů a ukazatelů</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vyjádření k požadavkům na zvětšený rozsah stavebních prací a dodávek materiálu oproti projektové dokumentaci</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xml:space="preserve">- účast na kontrolních dnech stavby </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xml:space="preserve">- účast na přejímacím řízení stavby a jejích dílčích částech, případné kolaudaci stavby a řádně spolupracovat při těchto řízeních </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provádění projekčních prací menšího rozsahu (doplňky a změny)</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poskytovat technické konzultace potřebné pro plynulost výstavby</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t>- konzultovat a podávat upřesnění při vypracování realizační dokumentace</w:t>
      </w:r>
    </w:p>
    <w:p w:rsidR="003073A2" w:rsidRPr="007B09E4" w:rsidRDefault="003073A2" w:rsidP="003073A2">
      <w:pPr>
        <w:pStyle w:val="Zkladntextodsazen21"/>
        <w:spacing w:after="120" w:line="276" w:lineRule="auto"/>
        <w:ind w:left="0" w:firstLine="0"/>
        <w:rPr>
          <w:rFonts w:ascii="Arial" w:eastAsia="Calibri" w:hAnsi="Arial" w:cs="Arial"/>
          <w:sz w:val="20"/>
          <w:lang w:eastAsia="en-US"/>
        </w:rPr>
      </w:pPr>
      <w:r w:rsidRPr="007B09E4">
        <w:rPr>
          <w:rFonts w:ascii="Arial" w:eastAsia="Calibri" w:hAnsi="Arial" w:cs="Arial"/>
          <w:sz w:val="20"/>
          <w:lang w:eastAsia="en-US"/>
        </w:rPr>
        <w:lastRenderedPageBreak/>
        <w:t>- zapisovat své návštěvy, prohlídky a posouzení stavby ve stavebním deníku, kam bude také uvádět jím zjištěné nedostatky a navržená opatření, pokud není výše dohodnuto jinak</w:t>
      </w:r>
    </w:p>
    <w:p w:rsidR="003073A2" w:rsidRPr="007B09E4" w:rsidRDefault="003073A2" w:rsidP="003073A2">
      <w:pPr>
        <w:pStyle w:val="Zkladntextodsazen21"/>
        <w:spacing w:after="240" w:line="276" w:lineRule="auto"/>
        <w:ind w:left="0" w:firstLine="0"/>
        <w:rPr>
          <w:rFonts w:ascii="Arial" w:eastAsia="Calibri" w:hAnsi="Arial" w:cs="Arial"/>
          <w:sz w:val="20"/>
          <w:lang w:eastAsia="en-US"/>
        </w:rPr>
      </w:pPr>
      <w:r w:rsidRPr="007B09E4">
        <w:rPr>
          <w:rFonts w:ascii="Arial" w:eastAsia="Calibri" w:hAnsi="Arial" w:cs="Arial"/>
          <w:sz w:val="20"/>
          <w:lang w:eastAsia="en-US"/>
        </w:rPr>
        <w:t>Zjistí-li autor při výkonu dozoru projektanta nedodržení projektové dokumentace stavby, uvědomí bez zbytečného odkladu o této skutečnosti zadavatele a zhotovitele stavby. V odůvodněných případech uvede stručnou charakteristiku porušení dokumentace a tomu odpovídající důsledky.</w:t>
      </w:r>
    </w:p>
    <w:p w:rsidR="003073A2" w:rsidRPr="007B09E4" w:rsidRDefault="003073A2" w:rsidP="003073A2">
      <w:pPr>
        <w:pStyle w:val="Zkladntextodsazen21"/>
        <w:spacing w:after="240" w:line="276" w:lineRule="auto"/>
        <w:ind w:left="0" w:firstLine="0"/>
        <w:rPr>
          <w:rFonts w:ascii="Arial" w:eastAsia="Calibri" w:hAnsi="Arial" w:cs="Arial"/>
          <w:sz w:val="20"/>
          <w:lang w:eastAsia="en-US"/>
        </w:rPr>
      </w:pPr>
      <w:r w:rsidRPr="007B09E4">
        <w:rPr>
          <w:rFonts w:ascii="Arial" w:eastAsia="Calibri" w:hAnsi="Arial" w:cs="Arial"/>
          <w:sz w:val="20"/>
          <w:lang w:eastAsia="en-US"/>
        </w:rPr>
        <w:t xml:space="preserve">Dozor projektanta bude vykonáván na vyžádání ze strany zadavatele. Předmět, termín a místo výkonu dozoru projektanta budou dohodnuty vždy individuálně při každé výzvě zadavatele. </w:t>
      </w:r>
    </w:p>
    <w:p w:rsidR="003073A2" w:rsidRPr="007B09E4" w:rsidRDefault="003073A2" w:rsidP="003073A2">
      <w:pPr>
        <w:pStyle w:val="Zkladntextodsazen21"/>
        <w:spacing w:after="240" w:line="276" w:lineRule="auto"/>
        <w:ind w:left="0" w:firstLine="0"/>
        <w:rPr>
          <w:rFonts w:ascii="Arial" w:hAnsi="Arial" w:cs="Arial"/>
          <w:b/>
          <w:sz w:val="20"/>
          <w:u w:val="single"/>
        </w:rPr>
      </w:pPr>
      <w:r w:rsidRPr="007B09E4">
        <w:rPr>
          <w:rFonts w:ascii="Arial" w:hAnsi="Arial" w:cs="Arial"/>
          <w:b/>
          <w:sz w:val="20"/>
          <w:u w:val="single"/>
        </w:rPr>
        <w:t>Místo plnění/realizace</w:t>
      </w:r>
    </w:p>
    <w:p w:rsidR="003073A2" w:rsidRPr="007B09E4" w:rsidRDefault="003073A2" w:rsidP="003073A2">
      <w:pPr>
        <w:rPr>
          <w:rFonts w:ascii="Arial" w:hAnsi="Arial" w:cs="Arial"/>
          <w:sz w:val="20"/>
          <w:szCs w:val="20"/>
        </w:rPr>
      </w:pPr>
      <w:r w:rsidRPr="007B09E4">
        <w:rPr>
          <w:rFonts w:ascii="Arial" w:hAnsi="Arial" w:cs="Arial"/>
          <w:sz w:val="20"/>
          <w:szCs w:val="20"/>
        </w:rPr>
        <w:t>Místo stavby – Kraj Vysočina, okres Třebíč, obec Mohelno</w:t>
      </w:r>
    </w:p>
    <w:p w:rsidR="003073A2" w:rsidRPr="007B09E4" w:rsidRDefault="003073A2" w:rsidP="003073A2">
      <w:pPr>
        <w:rPr>
          <w:rFonts w:ascii="Arial" w:hAnsi="Arial" w:cs="Arial"/>
          <w:b/>
          <w:sz w:val="20"/>
          <w:szCs w:val="20"/>
          <w:u w:val="single"/>
        </w:rPr>
      </w:pPr>
      <w:r w:rsidRPr="007B09E4">
        <w:rPr>
          <w:rFonts w:ascii="Arial" w:hAnsi="Arial" w:cs="Arial"/>
          <w:b/>
          <w:sz w:val="20"/>
          <w:szCs w:val="20"/>
          <w:u w:val="single"/>
        </w:rPr>
        <w:t>Veřejný provoz</w:t>
      </w:r>
    </w:p>
    <w:p w:rsidR="003073A2" w:rsidRPr="007B09E4" w:rsidRDefault="003073A2" w:rsidP="003073A2">
      <w:pPr>
        <w:rPr>
          <w:rFonts w:ascii="Arial" w:hAnsi="Arial" w:cs="Arial"/>
          <w:sz w:val="20"/>
          <w:szCs w:val="20"/>
        </w:rPr>
      </w:pPr>
      <w:r w:rsidRPr="007B09E4">
        <w:rPr>
          <w:rFonts w:ascii="Arial" w:hAnsi="Arial" w:cs="Arial"/>
          <w:sz w:val="20"/>
          <w:szCs w:val="20"/>
        </w:rPr>
        <w:t>Zadavatel předpokládá, že projektovaná rekonstrukce bude probíhat za úplné uzavírky silničního provozu.</w:t>
      </w:r>
    </w:p>
    <w:p w:rsidR="003073A2" w:rsidRPr="007B09E4" w:rsidRDefault="003073A2" w:rsidP="003073A2">
      <w:pPr>
        <w:rPr>
          <w:rFonts w:ascii="Arial" w:hAnsi="Arial" w:cs="Arial"/>
          <w:b/>
          <w:sz w:val="20"/>
          <w:szCs w:val="20"/>
          <w:u w:val="single"/>
        </w:rPr>
      </w:pPr>
      <w:r w:rsidRPr="007B09E4">
        <w:rPr>
          <w:rFonts w:ascii="Arial" w:hAnsi="Arial" w:cs="Arial"/>
          <w:b/>
          <w:sz w:val="20"/>
          <w:szCs w:val="20"/>
          <w:u w:val="single"/>
        </w:rPr>
        <w:t>Seznam poskytnutých podkladů</w:t>
      </w:r>
    </w:p>
    <w:p w:rsidR="003073A2" w:rsidRPr="007B09E4" w:rsidRDefault="003073A2" w:rsidP="003073A2">
      <w:pPr>
        <w:pStyle w:val="3"/>
        <w:spacing w:line="276" w:lineRule="auto"/>
        <w:rPr>
          <w:rFonts w:ascii="Arial" w:hAnsi="Arial" w:cs="Arial"/>
          <w:sz w:val="20"/>
          <w:szCs w:val="20"/>
        </w:rPr>
      </w:pPr>
      <w:r w:rsidRPr="007B09E4">
        <w:rPr>
          <w:rFonts w:ascii="Arial" w:hAnsi="Arial" w:cs="Arial"/>
          <w:sz w:val="20"/>
          <w:szCs w:val="20"/>
        </w:rPr>
        <w:t>Přehledná situace</w:t>
      </w:r>
    </w:p>
    <w:p w:rsidR="003073A2" w:rsidRPr="007B09E4" w:rsidRDefault="003073A2" w:rsidP="003073A2">
      <w:pPr>
        <w:rPr>
          <w:rFonts w:ascii="Arial" w:hAnsi="Arial" w:cs="Arial"/>
          <w:sz w:val="20"/>
          <w:szCs w:val="20"/>
        </w:rPr>
      </w:pPr>
      <w:r w:rsidRPr="007B09E4">
        <w:rPr>
          <w:rFonts w:ascii="Arial" w:hAnsi="Arial" w:cs="Arial"/>
          <w:sz w:val="20"/>
          <w:szCs w:val="20"/>
        </w:rPr>
        <w:t>Mostní list mostu ev. č. 392-014</w:t>
      </w:r>
    </w:p>
    <w:p w:rsidR="003073A2" w:rsidRPr="007B09E4" w:rsidRDefault="003073A2" w:rsidP="003073A2">
      <w:pPr>
        <w:pStyle w:val="3"/>
        <w:rPr>
          <w:rFonts w:ascii="Arial" w:hAnsi="Arial" w:cs="Arial"/>
          <w:sz w:val="20"/>
          <w:szCs w:val="20"/>
        </w:rPr>
      </w:pPr>
      <w:r w:rsidRPr="007B09E4">
        <w:rPr>
          <w:rFonts w:ascii="Arial" w:hAnsi="Arial" w:cs="Arial"/>
          <w:sz w:val="20"/>
          <w:szCs w:val="20"/>
        </w:rPr>
        <w:t>Poslední provedená hlavní mostní prohlídka mostu ev. č. 392-014 je z 10/2023</w:t>
      </w:r>
    </w:p>
    <w:p w:rsidR="003073A2" w:rsidRPr="007B09E4" w:rsidRDefault="003073A2" w:rsidP="003073A2">
      <w:pPr>
        <w:rPr>
          <w:rFonts w:ascii="Arial" w:hAnsi="Arial" w:cs="Arial"/>
          <w:b/>
          <w:sz w:val="20"/>
          <w:szCs w:val="20"/>
          <w:u w:val="single"/>
        </w:rPr>
      </w:pPr>
      <w:r w:rsidRPr="007B09E4">
        <w:rPr>
          <w:rFonts w:ascii="Arial" w:hAnsi="Arial" w:cs="Arial"/>
          <w:b/>
          <w:sz w:val="20"/>
          <w:szCs w:val="20"/>
          <w:u w:val="single"/>
        </w:rPr>
        <w:t>Lhůty plnění</w:t>
      </w:r>
    </w:p>
    <w:p w:rsidR="003073A2" w:rsidRPr="007B09E4" w:rsidRDefault="003073A2" w:rsidP="003073A2">
      <w:pPr>
        <w:overflowPunct w:val="0"/>
        <w:autoSpaceDE w:val="0"/>
        <w:autoSpaceDN w:val="0"/>
        <w:adjustRightInd w:val="0"/>
        <w:spacing w:after="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Zahájení realizace:</w:t>
      </w:r>
      <w:r w:rsidRPr="007B09E4">
        <w:rPr>
          <w:rFonts w:ascii="Arial" w:eastAsia="Times New Roman" w:hAnsi="Arial" w:cs="Arial"/>
          <w:sz w:val="20"/>
          <w:szCs w:val="20"/>
          <w:lang w:eastAsia="cs-CZ"/>
        </w:rPr>
        <w:tab/>
      </w:r>
      <w:r w:rsidRPr="007B09E4">
        <w:rPr>
          <w:rFonts w:ascii="Arial" w:eastAsia="Times New Roman" w:hAnsi="Arial" w:cs="Arial"/>
          <w:sz w:val="20"/>
          <w:szCs w:val="20"/>
          <w:lang w:eastAsia="cs-CZ"/>
        </w:rPr>
        <w:tab/>
      </w:r>
      <w:r w:rsidRPr="007B09E4">
        <w:rPr>
          <w:rFonts w:ascii="Arial" w:eastAsia="Times New Roman" w:hAnsi="Arial" w:cs="Arial"/>
          <w:sz w:val="20"/>
          <w:szCs w:val="20"/>
          <w:lang w:eastAsia="cs-CZ"/>
        </w:rPr>
        <w:tab/>
      </w:r>
      <w:r w:rsidRPr="007B09E4">
        <w:rPr>
          <w:rFonts w:ascii="Arial" w:eastAsia="Times New Roman" w:hAnsi="Arial" w:cs="Arial"/>
          <w:sz w:val="20"/>
          <w:szCs w:val="20"/>
          <w:lang w:eastAsia="cs-CZ"/>
        </w:rPr>
        <w:tab/>
      </w:r>
      <w:r w:rsidRPr="007B09E4">
        <w:rPr>
          <w:rFonts w:ascii="Arial" w:eastAsia="Times New Roman" w:hAnsi="Arial" w:cs="Arial"/>
          <w:sz w:val="20"/>
          <w:szCs w:val="20"/>
          <w:lang w:eastAsia="cs-CZ"/>
        </w:rPr>
        <w:tab/>
        <w:t xml:space="preserve"> ihned po nabytí účinnosti smlouvy</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IGP průzkum a návrh technického řešení</w:t>
      </w:r>
      <w:r w:rsidRPr="007B09E4">
        <w:rPr>
          <w:rFonts w:ascii="Arial" w:eastAsia="Times New Roman" w:hAnsi="Arial" w:cs="Arial"/>
          <w:sz w:val="20"/>
          <w:szCs w:val="20"/>
          <w:lang w:eastAsia="cs-CZ"/>
        </w:rPr>
        <w:tab/>
        <w:t xml:space="preserve"> do 90 dnů od nabytí účinnosti smlouvy</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Dokumentace pro povolení záměru (koncept)</w:t>
      </w:r>
      <w:r w:rsidRPr="007B09E4">
        <w:rPr>
          <w:rFonts w:ascii="Arial" w:eastAsia="Times New Roman" w:hAnsi="Arial" w:cs="Arial"/>
          <w:sz w:val="20"/>
          <w:szCs w:val="20"/>
          <w:lang w:eastAsia="cs-CZ"/>
        </w:rPr>
        <w:tab/>
        <w:t xml:space="preserve"> do 150 dnů od nabytí účinnosti smlouvy</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 xml:space="preserve">Dokumentace pro povolení záměru (čistopis, </w:t>
      </w:r>
      <w:r w:rsidRPr="007B09E4">
        <w:rPr>
          <w:rFonts w:ascii="Arial" w:eastAsia="Times New Roman" w:hAnsi="Arial" w:cs="Arial"/>
          <w:sz w:val="20"/>
          <w:szCs w:val="20"/>
          <w:lang w:eastAsia="cs-CZ"/>
        </w:rPr>
        <w:tab/>
        <w:t xml:space="preserve">do 60 dnů od předání konceptu dokumentace pro </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 xml:space="preserve">včetně IČ a projednání s DOSS, odsouhlasený </w:t>
      </w:r>
      <w:r w:rsidRPr="007B09E4">
        <w:rPr>
          <w:rFonts w:ascii="Arial" w:eastAsia="Times New Roman" w:hAnsi="Arial" w:cs="Arial"/>
          <w:sz w:val="20"/>
          <w:szCs w:val="20"/>
          <w:lang w:eastAsia="cs-CZ"/>
        </w:rPr>
        <w:tab/>
        <w:t>povolení záměru</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objednatelem)</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ab/>
        <w:t xml:space="preserve"> </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Podání žádosti pro povolení záměru</w:t>
      </w:r>
      <w:r w:rsidRPr="007B09E4">
        <w:rPr>
          <w:rFonts w:ascii="Arial" w:eastAsia="Times New Roman" w:hAnsi="Arial" w:cs="Arial"/>
          <w:sz w:val="20"/>
          <w:szCs w:val="20"/>
          <w:lang w:eastAsia="cs-CZ"/>
        </w:rPr>
        <w:tab/>
        <w:t xml:space="preserve"> do 30 dnů od dokončení IČ, nebo do 30     </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 xml:space="preserve">                                                                                          dnů od předání dokumentace pro povolení záměru</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Projektová dokumentace pro provádění stavby</w:t>
      </w:r>
      <w:r w:rsidRPr="007B09E4">
        <w:rPr>
          <w:rFonts w:ascii="Arial" w:eastAsia="Times New Roman" w:hAnsi="Arial" w:cs="Arial"/>
          <w:sz w:val="20"/>
          <w:szCs w:val="20"/>
          <w:lang w:eastAsia="cs-CZ"/>
        </w:rPr>
        <w:tab/>
        <w:t>do 60 dnů od vydání pravomocného povolení</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 xml:space="preserve">(čistopis, včetně zapracování případných připomínek </w:t>
      </w:r>
      <w:r w:rsidRPr="007B09E4">
        <w:rPr>
          <w:rFonts w:ascii="Arial" w:eastAsia="Times New Roman" w:hAnsi="Arial" w:cs="Arial"/>
          <w:sz w:val="20"/>
          <w:szCs w:val="20"/>
          <w:lang w:eastAsia="cs-CZ"/>
        </w:rPr>
        <w:tab/>
        <w:t>záměru stavebním úřadem</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ze stavebního řízení a včetně soupisů prací,</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odsouhlasený objednatelem)</w:t>
      </w:r>
      <w:r w:rsidRPr="007B09E4">
        <w:rPr>
          <w:rFonts w:ascii="Arial" w:eastAsia="Times New Roman" w:hAnsi="Arial" w:cs="Arial"/>
          <w:sz w:val="20"/>
          <w:szCs w:val="20"/>
          <w:lang w:eastAsia="cs-CZ"/>
        </w:rPr>
        <w:tab/>
        <w:t xml:space="preserve"> </w:t>
      </w:r>
    </w:p>
    <w:p w:rsidR="003073A2" w:rsidRPr="007B09E4" w:rsidRDefault="003073A2" w:rsidP="003073A2">
      <w:pPr>
        <w:overflowPunct w:val="0"/>
        <w:autoSpaceDE w:val="0"/>
        <w:autoSpaceDN w:val="0"/>
        <w:adjustRightInd w:val="0"/>
        <w:spacing w:before="240" w:after="120" w:line="240" w:lineRule="auto"/>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Předpoklad zahájení výkonu autorského dozoru</w:t>
      </w:r>
      <w:r w:rsidRPr="007B09E4">
        <w:rPr>
          <w:rFonts w:ascii="Arial" w:eastAsia="Times New Roman" w:hAnsi="Arial" w:cs="Arial"/>
          <w:sz w:val="20"/>
          <w:szCs w:val="20"/>
          <w:lang w:eastAsia="cs-CZ"/>
        </w:rPr>
        <w:tab/>
        <w:t>do 60 měsíců od vydání pravomocného                                                                   povolení stavby,</w:t>
      </w:r>
    </w:p>
    <w:p w:rsidR="003073A2" w:rsidRPr="007B09E4" w:rsidRDefault="003073A2" w:rsidP="003073A2">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B09E4">
        <w:rPr>
          <w:rFonts w:ascii="Arial" w:eastAsia="Times New Roman" w:hAnsi="Arial" w:cs="Arial"/>
          <w:sz w:val="20"/>
          <w:szCs w:val="20"/>
          <w:lang w:eastAsia="cs-CZ"/>
        </w:rPr>
        <w:t xml:space="preserve">Změna záměru (čistopis, včetně soupisů </w:t>
      </w:r>
    </w:p>
    <w:p w:rsidR="003073A2" w:rsidRPr="007B09E4" w:rsidRDefault="003073A2" w:rsidP="003073A2">
      <w:pPr>
        <w:overflowPunct w:val="0"/>
        <w:autoSpaceDE w:val="0"/>
        <w:autoSpaceDN w:val="0"/>
        <w:adjustRightInd w:val="0"/>
        <w:spacing w:after="0"/>
        <w:ind w:left="4950" w:hanging="4950"/>
        <w:textAlignment w:val="baseline"/>
        <w:rPr>
          <w:rFonts w:ascii="Arial" w:hAnsi="Arial" w:cs="Arial"/>
          <w:b/>
          <w:sz w:val="20"/>
          <w:szCs w:val="20"/>
        </w:rPr>
      </w:pPr>
      <w:r w:rsidRPr="007B09E4">
        <w:rPr>
          <w:rFonts w:ascii="Arial" w:eastAsia="Times New Roman" w:hAnsi="Arial" w:cs="Arial"/>
          <w:sz w:val="20"/>
          <w:szCs w:val="20"/>
          <w:lang w:eastAsia="cs-CZ"/>
        </w:rPr>
        <w:t>prací, odsouhlasený objednatelem a TDS)                     do 15 dnů od zjištění, následně neprodleně zajistit ostatní požadované přílohy (pokud během stavby nastane změna záměru)</w:t>
      </w:r>
    </w:p>
    <w:p w:rsidR="00B545BC" w:rsidRPr="007B09E4" w:rsidRDefault="00B545BC" w:rsidP="00AE7DDA">
      <w:pPr>
        <w:jc w:val="both"/>
        <w:rPr>
          <w:rFonts w:ascii="Arial" w:hAnsi="Arial" w:cs="Arial"/>
          <w:b/>
          <w:sz w:val="20"/>
          <w:szCs w:val="20"/>
        </w:rPr>
      </w:pPr>
    </w:p>
    <w:sectPr w:rsidR="00B545BC" w:rsidRPr="007B09E4" w:rsidSect="0034703B">
      <w:headerReference w:type="default" r:id="rId9"/>
      <w:footerReference w:type="default" r:id="rId10"/>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AB7DC2">
      <w:rPr>
        <w:rFonts w:ascii="Arial" w:hAnsi="Arial" w:cs="Arial"/>
        <w:b/>
        <w:noProof/>
        <w:sz w:val="16"/>
        <w:szCs w:val="16"/>
      </w:rPr>
      <w:t>7</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AB7DC2">
      <w:rPr>
        <w:rFonts w:ascii="Arial" w:hAnsi="Arial" w:cs="Arial"/>
        <w:b/>
        <w:noProof/>
        <w:sz w:val="16"/>
        <w:szCs w:val="16"/>
      </w:rPr>
      <w:t>7</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F34" w:rsidRPr="00955CD4" w:rsidRDefault="00EC5DCC" w:rsidP="00E02F34">
    <w:pPr>
      <w:pStyle w:val="Zhlav"/>
      <w:pBdr>
        <w:bottom w:val="single" w:sz="4" w:space="1" w:color="auto"/>
      </w:pBdr>
      <w:jc w:val="right"/>
      <w:rPr>
        <w:rFonts w:ascii="Arial" w:hAnsi="Arial" w:cs="Arial"/>
        <w:b/>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955CD4"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7D6FB1"/>
    <w:multiLevelType w:val="hybridMultilevel"/>
    <w:tmpl w:val="407AF25A"/>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432BA5"/>
    <w:multiLevelType w:val="hybridMultilevel"/>
    <w:tmpl w:val="E568826E"/>
    <w:lvl w:ilvl="0" w:tplc="7310BDE2">
      <w:numFmt w:val="bullet"/>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7D91C8E"/>
    <w:multiLevelType w:val="hybridMultilevel"/>
    <w:tmpl w:val="66C2B6DC"/>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24"/>
  </w:num>
  <w:num w:numId="3">
    <w:abstractNumId w:val="0"/>
  </w:num>
  <w:num w:numId="4">
    <w:abstractNumId w:val="16"/>
  </w:num>
  <w:num w:numId="5">
    <w:abstractNumId w:val="12"/>
  </w:num>
  <w:num w:numId="6">
    <w:abstractNumId w:val="15"/>
  </w:num>
  <w:num w:numId="7">
    <w:abstractNumId w:val="14"/>
  </w:num>
  <w:num w:numId="8">
    <w:abstractNumId w:val="7"/>
  </w:num>
  <w:num w:numId="9">
    <w:abstractNumId w:val="13"/>
  </w:num>
  <w:num w:numId="10">
    <w:abstractNumId w:val="5"/>
  </w:num>
  <w:num w:numId="11">
    <w:abstractNumId w:val="8"/>
  </w:num>
  <w:num w:numId="12">
    <w:abstractNumId w:val="2"/>
  </w:num>
  <w:num w:numId="13">
    <w:abstractNumId w:val="9"/>
  </w:num>
  <w:num w:numId="14">
    <w:abstractNumId w:val="25"/>
  </w:num>
  <w:num w:numId="15">
    <w:abstractNumId w:val="21"/>
  </w:num>
  <w:num w:numId="16">
    <w:abstractNumId w:val="3"/>
  </w:num>
  <w:num w:numId="17">
    <w:abstractNumId w:val="10"/>
  </w:num>
  <w:num w:numId="18">
    <w:abstractNumId w:val="26"/>
  </w:num>
  <w:num w:numId="19">
    <w:abstractNumId w:val="20"/>
  </w:num>
  <w:num w:numId="20">
    <w:abstractNumId w:val="18"/>
  </w:num>
  <w:num w:numId="21">
    <w:abstractNumId w:val="4"/>
  </w:num>
  <w:num w:numId="22">
    <w:abstractNumId w:val="22"/>
  </w:num>
  <w:num w:numId="23">
    <w:abstractNumId w:val="19"/>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2"/>
  </w:num>
  <w:num w:numId="27">
    <w:abstractNumId w:val="23"/>
  </w:num>
  <w:num w:numId="28">
    <w:abstractNumId w:val="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EC2"/>
    <w:rsid w:val="0001297C"/>
    <w:rsid w:val="00031B59"/>
    <w:rsid w:val="00032DF2"/>
    <w:rsid w:val="00033EC2"/>
    <w:rsid w:val="00077603"/>
    <w:rsid w:val="00091A0B"/>
    <w:rsid w:val="00105330"/>
    <w:rsid w:val="001310C6"/>
    <w:rsid w:val="00143858"/>
    <w:rsid w:val="00150F88"/>
    <w:rsid w:val="00153F4E"/>
    <w:rsid w:val="0016103B"/>
    <w:rsid w:val="001632A3"/>
    <w:rsid w:val="00167A1E"/>
    <w:rsid w:val="00172C17"/>
    <w:rsid w:val="00174D7F"/>
    <w:rsid w:val="001B46DA"/>
    <w:rsid w:val="001C3BF8"/>
    <w:rsid w:val="001C4EBD"/>
    <w:rsid w:val="001C5F54"/>
    <w:rsid w:val="001C7DD6"/>
    <w:rsid w:val="001E3591"/>
    <w:rsid w:val="001E3B69"/>
    <w:rsid w:val="001F1E8D"/>
    <w:rsid w:val="00201C8A"/>
    <w:rsid w:val="00206A81"/>
    <w:rsid w:val="00207AAA"/>
    <w:rsid w:val="0021028E"/>
    <w:rsid w:val="00227F69"/>
    <w:rsid w:val="00245CC3"/>
    <w:rsid w:val="0024717C"/>
    <w:rsid w:val="002505CD"/>
    <w:rsid w:val="002715B4"/>
    <w:rsid w:val="00272769"/>
    <w:rsid w:val="002819DD"/>
    <w:rsid w:val="00294439"/>
    <w:rsid w:val="002A2808"/>
    <w:rsid w:val="002A70F8"/>
    <w:rsid w:val="002B5CAE"/>
    <w:rsid w:val="002C3FF4"/>
    <w:rsid w:val="002D116F"/>
    <w:rsid w:val="002D2AC8"/>
    <w:rsid w:val="002F0B61"/>
    <w:rsid w:val="003012C4"/>
    <w:rsid w:val="003073A2"/>
    <w:rsid w:val="00317A3B"/>
    <w:rsid w:val="0032208A"/>
    <w:rsid w:val="00322187"/>
    <w:rsid w:val="00335791"/>
    <w:rsid w:val="0034703B"/>
    <w:rsid w:val="00355D64"/>
    <w:rsid w:val="003634A2"/>
    <w:rsid w:val="00395D4F"/>
    <w:rsid w:val="003A6635"/>
    <w:rsid w:val="003B523E"/>
    <w:rsid w:val="003C0016"/>
    <w:rsid w:val="003C5BC7"/>
    <w:rsid w:val="003D36F1"/>
    <w:rsid w:val="00405F21"/>
    <w:rsid w:val="00413BFA"/>
    <w:rsid w:val="004177E6"/>
    <w:rsid w:val="00433246"/>
    <w:rsid w:val="0043662A"/>
    <w:rsid w:val="00437E4E"/>
    <w:rsid w:val="00457474"/>
    <w:rsid w:val="0047400F"/>
    <w:rsid w:val="00487EB6"/>
    <w:rsid w:val="004B1D1B"/>
    <w:rsid w:val="004B2925"/>
    <w:rsid w:val="004B3A5B"/>
    <w:rsid w:val="004B4D66"/>
    <w:rsid w:val="004C2E7C"/>
    <w:rsid w:val="004C3D34"/>
    <w:rsid w:val="004E26C7"/>
    <w:rsid w:val="004F4618"/>
    <w:rsid w:val="005252AA"/>
    <w:rsid w:val="0052571B"/>
    <w:rsid w:val="005562DB"/>
    <w:rsid w:val="00575531"/>
    <w:rsid w:val="00580C51"/>
    <w:rsid w:val="005875BA"/>
    <w:rsid w:val="005A2999"/>
    <w:rsid w:val="005A3E25"/>
    <w:rsid w:val="005B1FC8"/>
    <w:rsid w:val="005E469A"/>
    <w:rsid w:val="005E59F4"/>
    <w:rsid w:val="005E65B7"/>
    <w:rsid w:val="00605337"/>
    <w:rsid w:val="0060692D"/>
    <w:rsid w:val="00627D75"/>
    <w:rsid w:val="00633927"/>
    <w:rsid w:val="00635E1D"/>
    <w:rsid w:val="00651DA9"/>
    <w:rsid w:val="00651F7A"/>
    <w:rsid w:val="00660B95"/>
    <w:rsid w:val="00683DAC"/>
    <w:rsid w:val="006916B1"/>
    <w:rsid w:val="006A0285"/>
    <w:rsid w:val="006A3AD9"/>
    <w:rsid w:val="006B7CDC"/>
    <w:rsid w:val="00723546"/>
    <w:rsid w:val="007337DB"/>
    <w:rsid w:val="007349F9"/>
    <w:rsid w:val="007462B8"/>
    <w:rsid w:val="007524A0"/>
    <w:rsid w:val="00756677"/>
    <w:rsid w:val="00756EC0"/>
    <w:rsid w:val="0076591D"/>
    <w:rsid w:val="00771D72"/>
    <w:rsid w:val="00781C90"/>
    <w:rsid w:val="007908F6"/>
    <w:rsid w:val="00794F75"/>
    <w:rsid w:val="007B09E4"/>
    <w:rsid w:val="007D1374"/>
    <w:rsid w:val="007E6FEB"/>
    <w:rsid w:val="007F411D"/>
    <w:rsid w:val="007F463F"/>
    <w:rsid w:val="008023D2"/>
    <w:rsid w:val="00817C5F"/>
    <w:rsid w:val="008209FA"/>
    <w:rsid w:val="00836C76"/>
    <w:rsid w:val="00844B90"/>
    <w:rsid w:val="00847C98"/>
    <w:rsid w:val="0085017D"/>
    <w:rsid w:val="008661DA"/>
    <w:rsid w:val="008742AE"/>
    <w:rsid w:val="0088286F"/>
    <w:rsid w:val="0088350B"/>
    <w:rsid w:val="00884EBA"/>
    <w:rsid w:val="008B37FB"/>
    <w:rsid w:val="008B5E8C"/>
    <w:rsid w:val="008D4372"/>
    <w:rsid w:val="008E5B75"/>
    <w:rsid w:val="008F1380"/>
    <w:rsid w:val="008F2428"/>
    <w:rsid w:val="00903D67"/>
    <w:rsid w:val="009153D3"/>
    <w:rsid w:val="009333EF"/>
    <w:rsid w:val="00946275"/>
    <w:rsid w:val="009470C5"/>
    <w:rsid w:val="00955CD4"/>
    <w:rsid w:val="0095682B"/>
    <w:rsid w:val="00966055"/>
    <w:rsid w:val="00972FC3"/>
    <w:rsid w:val="00981014"/>
    <w:rsid w:val="009B0C47"/>
    <w:rsid w:val="009B37C8"/>
    <w:rsid w:val="009D2DCF"/>
    <w:rsid w:val="009E174F"/>
    <w:rsid w:val="009E5449"/>
    <w:rsid w:val="00A02A92"/>
    <w:rsid w:val="00A02C1A"/>
    <w:rsid w:val="00A111D2"/>
    <w:rsid w:val="00A22581"/>
    <w:rsid w:val="00A258B6"/>
    <w:rsid w:val="00A333AD"/>
    <w:rsid w:val="00A44DF5"/>
    <w:rsid w:val="00A63D56"/>
    <w:rsid w:val="00A93CA0"/>
    <w:rsid w:val="00AA14FB"/>
    <w:rsid w:val="00AA21EC"/>
    <w:rsid w:val="00AA42F6"/>
    <w:rsid w:val="00AA667C"/>
    <w:rsid w:val="00AA76D7"/>
    <w:rsid w:val="00AB286A"/>
    <w:rsid w:val="00AB7DC2"/>
    <w:rsid w:val="00AC4AB1"/>
    <w:rsid w:val="00AE7DDA"/>
    <w:rsid w:val="00AF5D3F"/>
    <w:rsid w:val="00B0273E"/>
    <w:rsid w:val="00B31119"/>
    <w:rsid w:val="00B3596C"/>
    <w:rsid w:val="00B41130"/>
    <w:rsid w:val="00B4147B"/>
    <w:rsid w:val="00B4322A"/>
    <w:rsid w:val="00B44286"/>
    <w:rsid w:val="00B545BC"/>
    <w:rsid w:val="00B64492"/>
    <w:rsid w:val="00B72CB0"/>
    <w:rsid w:val="00BD08E8"/>
    <w:rsid w:val="00BD2DC3"/>
    <w:rsid w:val="00BE3B79"/>
    <w:rsid w:val="00BF4645"/>
    <w:rsid w:val="00C040A0"/>
    <w:rsid w:val="00C0508D"/>
    <w:rsid w:val="00C34F5B"/>
    <w:rsid w:val="00C52667"/>
    <w:rsid w:val="00C65520"/>
    <w:rsid w:val="00CB1CE3"/>
    <w:rsid w:val="00CF3EA0"/>
    <w:rsid w:val="00D1051F"/>
    <w:rsid w:val="00D21D1B"/>
    <w:rsid w:val="00D21DBE"/>
    <w:rsid w:val="00D24A4F"/>
    <w:rsid w:val="00D27F79"/>
    <w:rsid w:val="00D36F3C"/>
    <w:rsid w:val="00D55D6F"/>
    <w:rsid w:val="00D674D6"/>
    <w:rsid w:val="00D83014"/>
    <w:rsid w:val="00D866FA"/>
    <w:rsid w:val="00D9018D"/>
    <w:rsid w:val="00DA4DDF"/>
    <w:rsid w:val="00DA5742"/>
    <w:rsid w:val="00DB70B1"/>
    <w:rsid w:val="00DE107F"/>
    <w:rsid w:val="00DF3229"/>
    <w:rsid w:val="00E02F34"/>
    <w:rsid w:val="00E07484"/>
    <w:rsid w:val="00E12753"/>
    <w:rsid w:val="00E26473"/>
    <w:rsid w:val="00E336FE"/>
    <w:rsid w:val="00E36ADA"/>
    <w:rsid w:val="00E720EA"/>
    <w:rsid w:val="00EA03AD"/>
    <w:rsid w:val="00EC5DCC"/>
    <w:rsid w:val="00ED28F8"/>
    <w:rsid w:val="00ED43D1"/>
    <w:rsid w:val="00EE2E2A"/>
    <w:rsid w:val="00EE4017"/>
    <w:rsid w:val="00F06AAB"/>
    <w:rsid w:val="00F11900"/>
    <w:rsid w:val="00F15CA5"/>
    <w:rsid w:val="00F230F4"/>
    <w:rsid w:val="00F32EA7"/>
    <w:rsid w:val="00FA7FCA"/>
    <w:rsid w:val="00FB6A47"/>
    <w:rsid w:val="00FE09A0"/>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3D94DED"/>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5E65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c4.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EE0B2-8C7D-4305-9932-1175B0CB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7</Pages>
  <Words>3425</Words>
  <Characters>20214</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Lukášová Irena</cp:lastModifiedBy>
  <cp:revision>49</cp:revision>
  <cp:lastPrinted>2024-04-18T12:32:00Z</cp:lastPrinted>
  <dcterms:created xsi:type="dcterms:W3CDTF">2024-07-19T07:39:00Z</dcterms:created>
  <dcterms:modified xsi:type="dcterms:W3CDTF">2025-11-18T09:47:00Z</dcterms:modified>
</cp:coreProperties>
</file>